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f266" w14:textId="f73f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и.о.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17 мая 2016 года № 89. Зарегистрирован в Министерстве юстиции Республики Казахстан 7 сентября 2016 года № 14214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 (зарегистрированный в Реестре государственной регистрации нормативных правовых актов за № 6394, опубликованный в газете "Казахстанская правда" от 28 сентября 2010 года № 255 (26316))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подпунктами 2), 10), 24-1)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 подпунктами 2) и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представления административных данных административными источниками на безвозмездной основе (далее – Правила) разработаны в соответствии с подпунктами 2), 10), 24-1)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 подпунктами 2) и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(далее – Закон).";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Административные источники согласовывают с ведомством уполномоченного органа формы, предназначенные для сбора административных данных (далее – формы административных данных), а также методики расчета показателей,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источники при направлении на согласование проекта акта об утверждении форм административных данных в ведомство уполномоченного органа обеспечивают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титульного листа к формам административных данных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пояснение по заполнению форм административных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применяемость форм административных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рассматривается ведомством уполномоченного органа на предмет соответствия национальным классификаторам,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регулировании", наличия дублирующих показателей путем проведения сравнительного анализа показателей указанных в формах административных данных с показателями форм общегосударственных, ведомственных статистических наблюдений в течение пятнадцати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дублирующих показателей инициируется рабочая встреча из числа должностных лиц ведомства уполномоченного органа и административного источника для решения вопроса об их исключении из форм административных данных или из форм общегосударственных и ведомственных статистических наблюдений.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решение вопроса требует длительного рассмотрения, то срок продлевается еще на тридцать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основе согласованных форм административных данных, ведомством уполномоченного органа на постоянной основе ведется структура единого реестра отчетности, формируемой в государственных органах (далее – реестр), в разрезе административных источников, который размещается на Интернет-ресурсе ведомства уполномоченного органа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один раз в год запрашивает у административных источников информацию об имеющихся и разрабатываемых административных данных, которые формируются в процессе реализации стратегических, регулятивных, реализационных или контрольных функций, за исключением статистической деятельности по форме, согласно 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использования административных данных для производства статистической информации и актуализации статистических регистров ведомство уполномоченного органа на основе данных реестра, а также информации об имеющихся административных данных, с учетом своих потребностей разрабатывает технический документ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шлюза "электронного правительства", платежного шлюза "электронного правительства" с информационными системами утвержденными приказом и.о. Министра по инвестициям и развитию Республики Казахстан от 28 января 2016 года № 104 (зарегистрированный в Реестре государственной регистрации нормативных правовых актов за № 13244).";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к настоящим Правилам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13 апреля 2012 года № 89 "Об утверждении Инструкции по согласованию форм, предназначенных для сбора административных данных" (зарегистрированный в Реестре государственной регистрации нормативных правовых актов за № 7658, опубликованный в газете "Казахстанская правда" от 23 июня 2012 года № 199-200 (27018-27019));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 апреля 2013 года № 87 "О внесении изменений в приказ Председателя Агентства Республики Казахстан по статистике от 13 апреля 2012 года № 89 "Об утверждении Инструкции по согласованию форм, предназначенных для сбора административных данных" (зарегистрированный в Реестре государственной регистрации нормативных правовых актов за № 8426, опубликованный в газете "Казахстанская правда" от 22 мая 2013 года № 173-174 (27447-27448)).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статистике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 А. </w:t>
      </w:r>
      <w:r>
        <w:rPr>
          <w:rFonts w:ascii="Times New Roman"/>
          <w:b/>
          <w:i w:val="false"/>
          <w:color w:val="000000"/>
          <w:sz w:val="28"/>
        </w:rPr>
        <w:t>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</w:t>
      </w:r>
      <w:r>
        <w:rPr>
          <w:rFonts w:ascii="Times New Roman"/>
          <w:b/>
          <w:i w:val="false"/>
          <w:color w:val="000000"/>
          <w:sz w:val="28"/>
        </w:rPr>
        <w:t xml:space="preserve"> июня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</w:t>
      </w:r>
      <w:r>
        <w:rPr>
          <w:rFonts w:ascii="Times New Roman"/>
          <w:b/>
          <w:i w:val="false"/>
          <w:color w:val="000000"/>
          <w:sz w:val="28"/>
        </w:rPr>
        <w:t xml:space="preserve">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 </w:t>
      </w:r>
      <w:r>
        <w:rPr>
          <w:rFonts w:ascii="Times New Roman"/>
          <w:b/>
          <w:i w:val="false"/>
          <w:color w:val="000000"/>
          <w:sz w:val="28"/>
        </w:rPr>
        <w:t>Б. 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 августа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</w:t>
      </w:r>
      <w:r>
        <w:rPr>
          <w:rFonts w:ascii="Times New Roman"/>
          <w:b/>
          <w:i w:val="false"/>
          <w:color w:val="000000"/>
          <w:sz w:val="28"/>
        </w:rPr>
        <w:t xml:space="preserve">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 Е. </w:t>
      </w:r>
      <w:r>
        <w:rPr>
          <w:rFonts w:ascii="Times New Roman"/>
          <w:b/>
          <w:i w:val="false"/>
          <w:color w:val="000000"/>
          <w:sz w:val="28"/>
        </w:rPr>
        <w:t>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27</w:t>
      </w:r>
      <w:r>
        <w:rPr>
          <w:rFonts w:ascii="Times New Roman"/>
          <w:b/>
          <w:i w:val="false"/>
          <w:color w:val="000000"/>
          <w:sz w:val="28"/>
        </w:rPr>
        <w:t xml:space="preserve"> мая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</w:t>
      </w:r>
      <w:r>
        <w:rPr>
          <w:rFonts w:ascii="Times New Roman"/>
          <w:b/>
          <w:i w:val="false"/>
          <w:color w:val="000000"/>
          <w:sz w:val="28"/>
        </w:rPr>
        <w:t xml:space="preserve">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 Т. </w:t>
      </w:r>
      <w:r>
        <w:rPr>
          <w:rFonts w:ascii="Times New Roman"/>
          <w:b/>
          <w:i w:val="false"/>
          <w:color w:val="000000"/>
          <w:sz w:val="28"/>
        </w:rPr>
        <w:t>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23</w:t>
      </w:r>
      <w:r>
        <w:rPr>
          <w:rFonts w:ascii="Times New Roman"/>
          <w:b/>
          <w:i w:val="false"/>
          <w:color w:val="000000"/>
          <w:sz w:val="28"/>
        </w:rPr>
        <w:t xml:space="preserve"> мая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</w:t>
      </w:r>
      <w:r>
        <w:rPr>
          <w:rFonts w:ascii="Times New Roman"/>
          <w:b/>
          <w:i w:val="false"/>
          <w:color w:val="000000"/>
          <w:sz w:val="28"/>
        </w:rPr>
        <w:t xml:space="preserve">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 А. </w:t>
      </w:r>
      <w:r>
        <w:rPr>
          <w:rFonts w:ascii="Times New Roman"/>
          <w:b/>
          <w:i w:val="false"/>
          <w:color w:val="000000"/>
          <w:sz w:val="28"/>
        </w:rPr>
        <w:t>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06</w:t>
      </w:r>
      <w:r>
        <w:rPr>
          <w:rFonts w:ascii="Times New Roman"/>
          <w:b/>
          <w:i w:val="false"/>
          <w:color w:val="000000"/>
          <w:sz w:val="28"/>
        </w:rPr>
        <w:t xml:space="preserve"> июня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</w:t>
      </w:r>
      <w:r>
        <w:rPr>
          <w:rFonts w:ascii="Times New Roman"/>
          <w:b/>
          <w:i w:val="false"/>
          <w:color w:val="000000"/>
          <w:sz w:val="28"/>
        </w:rPr>
        <w:t xml:space="preserve">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25</w:t>
      </w:r>
      <w:r>
        <w:rPr>
          <w:rFonts w:ascii="Times New Roman"/>
          <w:b/>
          <w:i w:val="false"/>
          <w:color w:val="000000"/>
          <w:sz w:val="28"/>
        </w:rPr>
        <w:t xml:space="preserve"> июля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</w:t>
      </w:r>
      <w:r>
        <w:rPr>
          <w:rFonts w:ascii="Times New Roman"/>
          <w:b/>
          <w:i w:val="false"/>
          <w:color w:val="000000"/>
          <w:sz w:val="28"/>
        </w:rPr>
        <w:t xml:space="preserve">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 А. </w:t>
      </w:r>
      <w:r>
        <w:rPr>
          <w:rFonts w:ascii="Times New Roman"/>
          <w:b/>
          <w:i w:val="false"/>
          <w:color w:val="000000"/>
          <w:sz w:val="28"/>
        </w:rPr>
        <w:t>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23</w:t>
      </w:r>
      <w:r>
        <w:rPr>
          <w:rFonts w:ascii="Times New Roman"/>
          <w:b/>
          <w:i w:val="false"/>
          <w:color w:val="000000"/>
          <w:sz w:val="28"/>
        </w:rPr>
        <w:t xml:space="preserve"> июня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 </w:t>
      </w:r>
      <w:r>
        <w:rPr>
          <w:rFonts w:ascii="Times New Roman"/>
          <w:b/>
          <w:i w:val="false"/>
          <w:color w:val="000000"/>
          <w:sz w:val="28"/>
        </w:rPr>
        <w:t>Т. Донаков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</w:t>
      </w:r>
      <w:r>
        <w:rPr>
          <w:rFonts w:ascii="Times New Roman"/>
          <w:b/>
          <w:i w:val="false"/>
          <w:color w:val="000000"/>
          <w:sz w:val="28"/>
        </w:rPr>
        <w:t xml:space="preserve"> июля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/>
          <w:i w:val="false"/>
          <w:color w:val="000000"/>
          <w:sz w:val="28"/>
        </w:rPr>
        <w:t xml:space="preserve">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 Д. 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18</w:t>
      </w:r>
      <w:r>
        <w:rPr>
          <w:rFonts w:ascii="Times New Roman"/>
          <w:b/>
          <w:i w:val="false"/>
          <w:color w:val="000000"/>
          <w:sz w:val="28"/>
        </w:rPr>
        <w:t xml:space="preserve"> июля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</w:t>
      </w:r>
      <w:r>
        <w:rPr>
          <w:rFonts w:ascii="Times New Roman"/>
          <w:b/>
          <w:i w:val="false"/>
          <w:color w:val="000000"/>
          <w:sz w:val="28"/>
        </w:rPr>
        <w:t xml:space="preserve">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_______________ К. </w:t>
      </w:r>
      <w:r>
        <w:rPr>
          <w:rFonts w:ascii="Times New Roman"/>
          <w:b/>
          <w:i w:val="false"/>
          <w:color w:val="000000"/>
          <w:sz w:val="28"/>
        </w:rPr>
        <w:t>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</w:t>
      </w:r>
      <w:r>
        <w:rPr>
          <w:rFonts w:ascii="Times New Roman"/>
          <w:b/>
          <w:i w:val="false"/>
          <w:color w:val="000000"/>
          <w:sz w:val="28"/>
        </w:rPr>
        <w:t xml:space="preserve"> июля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</w:t>
      </w:r>
      <w:r>
        <w:rPr>
          <w:rFonts w:ascii="Times New Roman"/>
          <w:b/>
          <w:i w:val="false"/>
          <w:color w:val="000000"/>
          <w:sz w:val="28"/>
        </w:rPr>
        <w:t xml:space="preserve">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 К. </w:t>
      </w:r>
      <w:r>
        <w:rPr>
          <w:rFonts w:ascii="Times New Roman"/>
          <w:b/>
          <w:i w:val="false"/>
          <w:color w:val="000000"/>
          <w:sz w:val="28"/>
        </w:rPr>
        <w:t>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15</w:t>
      </w:r>
      <w:r>
        <w:rPr>
          <w:rFonts w:ascii="Times New Roman"/>
          <w:b/>
          <w:i w:val="false"/>
          <w:color w:val="000000"/>
          <w:sz w:val="28"/>
        </w:rPr>
        <w:t xml:space="preserve"> июня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мая 2016 года № 89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безвозмездной основе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5"/>
        </w:tc>
      </w:tr>
    </w:tbl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титульного листа к формам административных данных 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должна содержать титульный лист, на котором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приказа, (постановления), которым утверждена форма;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наименование формы);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типовая адресная часть формы, подписывается ответственным должностным лицом, и в случае представления на бумажном носителе заверяется печатью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мая 2016 года № 89</w:t>
            </w:r>
          </w:p>
          <w:bookmarkEnd w:id="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  <w:bookmarkEnd w:id="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0"/>
        </w:tc>
      </w:tr>
    </w:tbl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единого реестра отчетности, формируемой в государственных органах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524"/>
        <w:gridCol w:w="3799"/>
        <w:gridCol w:w="979"/>
        <w:gridCol w:w="2049"/>
        <w:gridCol w:w="1700"/>
        <w:gridCol w:w="1620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формы административных данных/Индекс формы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дата и номер акта, которым утверждены формы административных данных/которыми внесены изменения и дополнения в формы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 форм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лиц представляющих форму административных данных/Куда представляется форма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сбора административных данных/Срок представления формы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отмены (приостановления) формы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Пояснение по ведению Реестра ведомством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формы административных данных/индекс формы административных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наименование, дата и номер акта, которым утверждены формы административных данных/которыми внесены изменения и дополнения в формы административных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дата согласования форм административных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круг лиц представляющих форму административных данных/Куда представляется форма административных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периодичность сбора форм административных данных/Срок представления формы административных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дата отмены (приостановления) формы административных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Реестр представляет собой единую систему учета отчетности, предусматривающую сбор административных данных административными источниками в процессе реализации стратегических, регулятивных, реализационных или контрольных функций в соответствии с законодательством Республики Казахстан, а также обеспечение их доступности и открытости.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реестр подлежат включению: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формам административных данных, утвержденные актами государственных органов, и зарегистрированные в органах юстиции Республики Казахстан со дня их официального опубликования в информационно-правовой системе нормативных правовых актов Республики Казахстан "Әділет" в течение 10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 формам административных данных, утвержденные актами государственных органов, введенные в действие со дня их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включению в реестр данные административных источников с грифом "особой важности", "совершенно секретно", "секретно".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Реестр поддерживается в актуальном состоянии, посредством внесения текущих изменений и дополнений, а также признания отдельных приостановлений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поддерживания в актуальном состоянии реестра, ведомство уполномоченного органа один раз в год запрашивает у административных источников информацию о статусе (об изменении, дополнении, либо приостановлении, отмены) актов ранее включенных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со дня получения соответствующей информации, обеспечивает в течение 10 рабочих дней актуализацию реестра, с учетом накопления информации в архиве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данных реестра осуществляется с помощью активной графы 2 структуры реестра, при нажатии которой автоматически открываются данные формы административных данных в формате PDF.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мая 2016 года № 89</w:t>
            </w:r>
          </w:p>
          <w:bookmarkEnd w:id="1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безвозмездной основе </w:t>
            </w:r>
          </w:p>
          <w:bookmarkEnd w:id="1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7"/>
        </w:tc>
      </w:tr>
    </w:tbl>
    <w:bookmarkStart w:name="z9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об имеющихся и разрабатываемых административных данных __________________________________________________________ (Наименование административного источника)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169"/>
        <w:gridCol w:w="1169"/>
        <w:gridCol w:w="3984"/>
        <w:gridCol w:w="1169"/>
        <w:gridCol w:w="1820"/>
        <w:gridCol w:w="1820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сбора (на бумажном носителе, в электронном виде)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национального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ведомственной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данной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заполняется краткое описание информации, получаемой (собираемой) административными источниками, за исключением статистической деятельности. То есть не включается информация, собираемая в рамках ведомственных статистических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периодичность получения (сбора) административными источниками административных данных (допускается следующие значения в данной графе: – по мере поступления, – по мере необходимости, – ежедневно, – еженедельно, – ежемесячно, - ежеквартально, – 1 раз в полугодие, – ежегодно);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получения (сбора) информации формируемой административными источниками, за исключением первичных статистических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Допускаются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электронном виде" (если сбор административных данных осуществляется в электронном виде);"на бумажных носителях" (если сбор административных данных осуществляется на бумажных носителях);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также наличие двух значений одновременно, в случае если сбор информации осуществляется на бумажных носителях и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наличие информационной системы для получения (сбора) административных данных. Допускаются значения "Да" или "Нет";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перечисляются код по Реестру классификаций (систематизированный перечень классификаций, формируемый с целью их упорядочения в ИС "КЛАСС") и наименование используемых при получении (сборе) административных данных классификаторов (указываются национальные классификаторы, утвержденные в порядке, установленном законодательством в области технического регулирования);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перечисляются код по Реестру классификаций и наименование используемых при получении (сборе) административных данных классификаций (указываются ведомственные классификации (классификатор, номенклатура, справочник, введенные в установленном порядке для применения в производстве официальной статистической информации определенной отрасли министерств и ведомств), разработанные и утвержденные административными источниками).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Метод классификации должен быть иерархическим либо фасетным,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ведомственных классификаций, утвержденной приказом Председателя Комитета по статистике Министерства национальной экономики Республики Казахстан от 18 марта 2015 года № 50, зарегистрированный в Реестре государственной регистрации нормативных правовых актов под № 10779.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кодировании ведомственных классификаций должны применяться следующие виды кодирования: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последовательный;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параллельный;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порядковый;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серийно-порядковый.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внесении изменений и дополнений в ведомственные классификации применяются следующие директивы для каждого кода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позиции ведомственных классификаций: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"А" – "Аннулирован", аннулирование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"В" – "Внесен", внесение новой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"И" – "Изменен", изменение наименования позиции.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каждому элементу ведомственных классификаций указывается "дата начала" и "дата окончания" действия элемента.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пересмотре или внесении изменений и дополнений в ведомственные классификации необходимо прикладывать таблицу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(переходные ключи).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Ведомственные классификации и таблицы соответствия предоставляются на государственном и русском языках в формате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EXCEL.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отмены ведомственных классификаций административные источники обязаны письменно извещать ведомство уполномоченного органа в течении 10 календарных дней со дня отмены классификации.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