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d1f" w14:textId="313b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образования и науки Республики Казахстан от 25 августа 2016 года № 520. Зарегистрирован в Министерстве юстиции Республики Казахстан 23 сентября 2016 года № 14254. Утратил силу приказом Министра образования и науки Республики Казахстан от 27 ноября 2017 года № 597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27.11.2017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 (зарегистрированный в Реестре государственной регистрации нормативных правовых актов Республики Казахстан под № 8885, опубликованный в газете "Казахстанская правда" от 19 декабря 2013 года № 339 (27613)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подушевого нормативного финансирования среднего образования,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(Рахметова Ж.И.)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сентября 2016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образования и науки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Кусаинов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образования и науки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августа 2016 года № 520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образования и науки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октября 2013 года № 440</w:t>
                  </w:r>
                </w:p>
              </w:tc>
            </w:tr>
          </w:tbl>
          <w:p/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подушевого нормативного финансирования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среднего образования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с целью определения единого подхода при расчете нормативов финансирования обеспечения государственных гарантий прав граждан на получение обязательного бесплатного среднего образования.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организации среднего образования включает в себя финансирование расходов на образовательный процесс и расходов на образовательную среду, определяемых, исходя из подушевого норматива финансирования.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Подушевой норматив финансирования образовательного процесса различается в зависимости от: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образования: начальное образование, основное среднее образование, общее среднее образование;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реализуемых образовательных программ: общеобразовательные, специальные образовательные учебные программы;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реализации образовательной программы: город, сельская местность.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Показатели, используемые для расчета подушевого норматива финансирования среднего образования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подушевого норматива финансирования образовательного процесса используются: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утверждаемый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утверждении размеров базового должностного оклада и поправочного коэффициента";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Республики Казахстан о республиканском бюджете на соответствующий год;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Закона, нормативная учебная нагрузка в неделю для педагогических работников, непосредственно осуществляющих учебно-воспитательный процесс в государственных организациях образования: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– для работы в классах общего среднего образования;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часов в неделю в соответствии с Типовыми учебными планами,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за № 69469 опубликованный в газете "Казахстанская правда" от 23 февраля 2013 года № 69-70 (27343-27344), по уровням образования: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29,75 часа – среднее число часов в 1 – 4 классах;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45,1 часа – среднее число часов в 5 – 9 классах;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56,25 часа – среднее число часов в 10 – 11 классах;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расчетная наполняемость классов в соответствии с Государственными общеобязательными стандартами образования соответствующих уровней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179 (зарегистрированный в Реестре государственной регистрации нормативных правовых актов за № 88305, опубликованный в газете "Казахстанская правда" от 24 сентября 2015 года № 183 (28059):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 общеобразовательных школах – 24 учащихся;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общеобразовательных школах– 20 учащихся;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(коррекционных) классах – 12 учащихся.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расчета объема финансирования образовательного процесса и базового подушевого норматива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объема финансирования образовательного процесса и базового подушевого норматива производится по следующим формулам.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финансирования образовательного процесса организации среднего образования рассчитывается по формуле: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финансирования образовательного процесса определяется суммарно, исходя из подушевого норматива на одного обучающегося по видам образовательных программ, уровням образования.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учащихся, который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составлению сведений о сети, штатах, контингентах, утвержденной приказом Министра финансов Республики Казахстан от 20 февраля 2015 года № 108 (зарегистрированный в Министерстве юстиции Республики Казахстан № 10498);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расходов образовательного процесса по уровням образования в расчете на одного обучающегося в год рассчитывается по формуле: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=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*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базовый подушевой норматив расходов образовательного процесса,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уровень образования (начальное, основное среднее, общее среднее образование),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рассчитанный с учетом повышения должностных окладов специалистам, работающим в сельской местности, а также с учетом наполняемости классов сельских школ и специальных (коррекционных) классов: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1-4 классов – за проживание в сельской местности – 1,444, за работу в специальных (коррекционных) классах в городской местности – 2,237, за работу в специальных (коррекционных) классах в сельской местности – 2,392,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5-9 классов – за проживание в сельской местности – 1,449, за работу в специальных (коррекционных) классах в городской местности – 1,762, за работу в специальных (коррекционных) классах в сельской местности – 2,404,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10-11 классов – за проживание в сельской местности – 1,450, за работу в специальных (коррекционных) классах в городской местности – 1,523, за работу в специальных (коррекционных) классах в сельской местности – 2,409.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= Tp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X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процессе, в расчете на 1 обучающегося в год;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1 учащегося и включают: 0,3 МРП – расходы, связанные с подготовкой и участием учащихся в научных, спортивных и интеллектуальных конкурсах и мероприятиях, 0,9 МРП – учебные расходы.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 в зависимости от уровня образования(z)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zосн. </w:t>
      </w:r>
      <w:r>
        <w:rPr>
          <w:rFonts w:ascii="Times New Roman"/>
          <w:b w:val="false"/>
          <w:i w:val="false"/>
          <w:color w:val="000000"/>
          <w:sz w:val="28"/>
        </w:rPr>
        <w:t>+ Тр</w:t>
      </w:r>
      <w:r>
        <w:rPr>
          <w:rFonts w:ascii="Times New Roman"/>
          <w:b w:val="false"/>
          <w:i w:val="false"/>
          <w:color w:val="000000"/>
          <w:vertAlign w:val="subscript"/>
        </w:rPr>
        <w:t>z комп.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* sno * mv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 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mv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процессе, без учета компенсационных выплат;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 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педагогических работников в месяц,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W – фонд оплаты труда педагогических работников в месяц, рассчитывается по формуле: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ДО +БДО * (f+ Доу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h)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4,3;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удорожания фонда оплаты труда за счет управленческого персонала – 0,903;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 – коэффициент надбавки за особые условия труда – 0,520;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и надбавок – 0,224;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доплат за квалификационный уровень педагогических работников, который является переменным и корректируется ежегодно – 0,301;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1,099;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ученико-часа (соотношение количества учебных часов на одного учащегося с учетом нормативной учебной нагрузки)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mv рассчитывается по формуле: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= t / n / d,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неделю по ТУП;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образовательного процесса организации среднего образования предназначен для следующих видов расходов: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управленческого и основного персонала, участвующего в образовательном процессе (кроме расходов на оплату гимназического компонента, на оплату работникам за проживание в зонах экологического бедствия и радиационного риска);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работодателя по налогам и другим обязательным платежам;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выплату пособий на оздоровление к ежегодному оплачиваемому трудовому отпуску работников;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расходы, связанные с организацией и осуществлением образовательного процесса;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связанные с подготовкой и участием учащихся в научных, спортивных и интеллектуальных конкурсах и мероприятиях;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банковских (финансовых) услуг, связанных с произведением расходов, предусмотренных настоящим пунктом Методики.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норматива и объема финансирования образовательной среды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образовательной среды определяется по формуле: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финансирования расходов образовательной среды,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образовательной среды в год на 1 учащегося, который составляет 20,75 МРП в год на 1 учащегося,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среднегодовой контингент учащихся 1 – 11 классов организации среднего образования.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образовательной среды организации среднего образования предназначен для следующих видов расходов: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управленческого, основного, административного, вспомогательного и рабочего персонала, не участвующего в образовательном процессе (кроме расходов на оплату работникам за проживание в зонах экологического бедствия и радиационного риска);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работодателя по налогам и другим обязательным платежам;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выплату пособий на оздоровление к ежегодному оплачиваемому трудовому отпуску работников;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услуг почтовой и телефонной связи;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проведение текущего ремонта, содержание и обслуживание зданий, сооружений, технологического оборудования, компьютерной и оргтехники;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товаров, в стоимостном выражении не превышающих 40-кратный месячный расчетный показатель, необходимых для обеспечения деятельности организации образования, не применяемых в образовательном процессе;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оплату банковских (финансовых) услуг, связанных с произведением расходов, предусмотренных настоящим пунктом Методики.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