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5524" w14:textId="95a5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платежных систем, оператором которых выступает Национальный Банк Республики Казахстан либо его дочерняя организация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218. Зарегистрировано в Министерстве юстиции Республики Казахстан 6 октября 2016 года № 14307.</w:t>
      </w:r>
    </w:p>
    <w:p>
      <w:pPr>
        <w:spacing w:after="0"/>
        <w:ind w:left="0"/>
        <w:jc w:val="both"/>
      </w:pPr>
      <w:bookmarkStart w:name="z3"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в целях установления порядка функционирования платежных систем, оператором которых выступает Национальный Банк Республики Казахстан либо его дочерняя организация в лице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платежных систем, оператором которых выступает Национальный Банк Республики Казахстан либо его дочерняя организация.</w:t>
      </w:r>
    </w:p>
    <w:bookmarkEnd w:id="1"/>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265 "Об утверждении Правил функционирования платежных систем, оператором которых выступает Национальный Банк Республики Казахстан либо его дочерняя организация" (зарегистрированное в Реестре государственной регистрации нормативных правовых актов под № 7958, опубликованное 24 ноября 2012 года в газете "Казахстанская правда" № 408-409 (27227-27228);</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Национального Банка Республики Казахстан по вопросам платежей и переводов денег и ведения банковских счетов, в которые вносятся изменения, являющегося приложением к постановлению Правления Национального Банка Республики Казахстан от 28 января 2016 года № 32 "О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 (зарегистрированному в Реестре государственной регистрации нормативных правовых актов под № 13304, опубликованному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8" w:id="5"/>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7"/>
    <w:bookmarkStart w:name="z11" w:id="8"/>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8"/>
    <w:bookmarkStart w:name="z12" w:id="9"/>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9"/>
    <w:bookmarkStart w:name="z13" w:id="1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14" w:id="11"/>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11"/>
    <w:bookmarkStart w:name="z15"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2"/>
    <w:bookmarkStart w:name="z16" w:id="13"/>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Национального Банка                       Д. Акишев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218</w:t>
            </w:r>
          </w:p>
        </w:tc>
      </w:tr>
    </w:tbl>
    <w:bookmarkStart w:name="z19" w:id="14"/>
    <w:p>
      <w:pPr>
        <w:spacing w:after="0"/>
        <w:ind w:left="0"/>
        <w:jc w:val="left"/>
      </w:pPr>
      <w:r>
        <w:rPr>
          <w:rFonts w:ascii="Times New Roman"/>
          <w:b/>
          <w:i w:val="false"/>
          <w:color w:val="000000"/>
        </w:rPr>
        <w:t xml:space="preserve"> Правила</w:t>
      </w:r>
      <w:r>
        <w:br/>
      </w:r>
      <w:r>
        <w:rPr>
          <w:rFonts w:ascii="Times New Roman"/>
          <w:b/>
          <w:i w:val="false"/>
          <w:color w:val="000000"/>
        </w:rPr>
        <w:t>функционирования платежных систем, оператором которых выступает Национальный Банк Республики Казахстан либо его дочерняя организация</w:t>
      </w:r>
      <w:r>
        <w:br/>
      </w:r>
      <w:r>
        <w:rPr>
          <w:rFonts w:ascii="Times New Roman"/>
          <w:b/>
          <w:i w:val="false"/>
          <w:color w:val="000000"/>
        </w:rPr>
        <w:t>Глава 1. Общие положения</w:t>
      </w:r>
    </w:p>
    <w:bookmarkEnd w:id="14"/>
    <w:bookmarkStart w:name="z22" w:id="15"/>
    <w:p>
      <w:pPr>
        <w:spacing w:after="0"/>
        <w:ind w:left="0"/>
        <w:jc w:val="both"/>
      </w:pPr>
      <w:r>
        <w:rPr>
          <w:rFonts w:ascii="Times New Roman"/>
          <w:b w:val="false"/>
          <w:i w:val="false"/>
          <w:color w:val="000000"/>
          <w:sz w:val="28"/>
        </w:rPr>
        <w:t>
      1. Настоящие Правила функционирования платежных систем, оператором которых выступает Национальный Банк Республики Казахстан либо его дочерняя организация,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и платежных системах) и определяют порядок функционирования платежных систем, оператором которых выступает Национальный Банк Республики Казахстан (далее – Национальный Банк) или его дочерняя организация в лице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Центр).</w:t>
      </w:r>
    </w:p>
    <w:bookmarkEnd w:id="15"/>
    <w:bookmarkStart w:name="z23" w:id="16"/>
    <w:p>
      <w:pPr>
        <w:spacing w:after="0"/>
        <w:ind w:left="0"/>
        <w:jc w:val="both"/>
      </w:pPr>
      <w:r>
        <w:rPr>
          <w:rFonts w:ascii="Times New Roman"/>
          <w:b w:val="false"/>
          <w:i w:val="false"/>
          <w:color w:val="000000"/>
          <w:sz w:val="28"/>
        </w:rPr>
        <w:t>
      2. Порядок функционирования платежных систем, оператором которых выступает Национальный Банк или его дочерняя организация, включает функции оператора платежной системы и операционного центра платежной системы, условия участия в платежных системах, услуги, оказываемые Национальным Банком и (или) Центром в платежных системах, и виды операций, осуществляемых в платежных системах, функционирование платежных систем, взаимодействие участников платежных систем (далее – участники) с платежной системой, методы управления рисками и меры информационной безопасности.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3. Действие Правил не распространяется на отношения, связанные с осуществлением платежей и (или) переводов денег через </w:t>
      </w:r>
      <w:r>
        <w:rPr>
          <w:rFonts w:ascii="Times New Roman"/>
          <w:b w:val="false"/>
          <w:i w:val="false"/>
          <w:color w:val="000000"/>
          <w:sz w:val="28"/>
        </w:rPr>
        <w:t>межбанковскую систему</w:t>
      </w:r>
      <w:r>
        <w:rPr>
          <w:rFonts w:ascii="Times New Roman"/>
          <w:b w:val="false"/>
          <w:i w:val="false"/>
          <w:color w:val="000000"/>
          <w:sz w:val="28"/>
        </w:rPr>
        <w:t xml:space="preserve"> переводов денег и </w:t>
      </w:r>
      <w:r>
        <w:rPr>
          <w:rFonts w:ascii="Times New Roman"/>
          <w:b w:val="false"/>
          <w:i w:val="false"/>
          <w:color w:val="000000"/>
          <w:sz w:val="28"/>
        </w:rPr>
        <w:t>систему</w:t>
      </w:r>
      <w:r>
        <w:rPr>
          <w:rFonts w:ascii="Times New Roman"/>
          <w:b w:val="false"/>
          <w:i w:val="false"/>
          <w:color w:val="000000"/>
          <w:sz w:val="28"/>
        </w:rPr>
        <w:t xml:space="preserve"> межбанковского клиринга.</w:t>
      </w:r>
    </w:p>
    <w:bookmarkEnd w:id="17"/>
    <w:bookmarkStart w:name="z25" w:id="18"/>
    <w:p>
      <w:pPr>
        <w:spacing w:after="0"/>
        <w:ind w:left="0"/>
        <w:jc w:val="both"/>
      </w:pPr>
      <w:r>
        <w:rPr>
          <w:rFonts w:ascii="Times New Roman"/>
          <w:b w:val="false"/>
          <w:i w:val="false"/>
          <w:color w:val="000000"/>
          <w:sz w:val="28"/>
        </w:rPr>
        <w:t xml:space="preserve">
      4.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следующие понятия:</w:t>
      </w:r>
    </w:p>
    <w:bookmarkEnd w:id="18"/>
    <w:bookmarkStart w:name="z26" w:id="19"/>
    <w:p>
      <w:pPr>
        <w:spacing w:after="0"/>
        <w:ind w:left="0"/>
        <w:jc w:val="both"/>
      </w:pPr>
      <w:r>
        <w:rPr>
          <w:rFonts w:ascii="Times New Roman"/>
          <w:b w:val="false"/>
          <w:i w:val="false"/>
          <w:color w:val="000000"/>
          <w:sz w:val="28"/>
        </w:rPr>
        <w:t>
      1) аудиторский след – последовательная регистрация событий по обработке электронных сообщений в системе, информация по которой сохраняется в платежной системе и участниками;</w:t>
      </w:r>
    </w:p>
    <w:bookmarkEnd w:id="19"/>
    <w:bookmarkStart w:name="z27" w:id="20"/>
    <w:p>
      <w:pPr>
        <w:spacing w:after="0"/>
        <w:ind w:left="0"/>
        <w:jc w:val="both"/>
      </w:pPr>
      <w:r>
        <w:rPr>
          <w:rFonts w:ascii="Times New Roman"/>
          <w:b w:val="false"/>
          <w:i w:val="false"/>
          <w:color w:val="000000"/>
          <w:sz w:val="28"/>
        </w:rPr>
        <w:t>
      2) аутентификация – комплекс мер для подтверждения подлинности участников при обмене платежными и информационными сообщениями, а также подлинности платежных и информационных сообщений;</w:t>
      </w:r>
    </w:p>
    <w:bookmarkEnd w:id="20"/>
    <w:bookmarkStart w:name="z28" w:id="21"/>
    <w:p>
      <w:pPr>
        <w:spacing w:after="0"/>
        <w:ind w:left="0"/>
        <w:jc w:val="both"/>
      </w:pPr>
      <w:r>
        <w:rPr>
          <w:rFonts w:ascii="Times New Roman"/>
          <w:b w:val="false"/>
          <w:i w:val="false"/>
          <w:color w:val="000000"/>
          <w:sz w:val="28"/>
        </w:rPr>
        <w:t>
      3) позиция участника в платежной системе (далее – позиция) - позиция, предназначенная для учета суммы денег участника в платежной системе;</w:t>
      </w:r>
    </w:p>
    <w:bookmarkEnd w:id="21"/>
    <w:bookmarkStart w:name="z82" w:id="22"/>
    <w:p>
      <w:pPr>
        <w:spacing w:after="0"/>
        <w:ind w:left="0"/>
        <w:jc w:val="both"/>
      </w:pPr>
      <w:r>
        <w:rPr>
          <w:rFonts w:ascii="Times New Roman"/>
          <w:b w:val="false"/>
          <w:i w:val="false"/>
          <w:color w:val="000000"/>
          <w:sz w:val="28"/>
        </w:rPr>
        <w:t>
      3-1) дневной заем "овердрафт" (далее – заем "овердрафт") – краткосрочный заем, предоставляемый Национальным Банком банкам, филиалам банков-нерезидентов Республики Казахстан и организациям, осуществляющим отдельные виды банковских операций, являющимся участниками платежных систем Республики Казахстан, оператором либо расчетным агентом которых является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платежные системы Центра) в случае отсутствия или недостаточности денег на их корреспондентских счетах в тенге в Национальном Банке для осуществления перевода денег по результатам клиринга, проведенного в соответствующей платежной системе Центра;</w:t>
      </w:r>
    </w:p>
    <w:bookmarkEnd w:id="22"/>
    <w:bookmarkStart w:name="z29" w:id="23"/>
    <w:p>
      <w:pPr>
        <w:spacing w:after="0"/>
        <w:ind w:left="0"/>
        <w:jc w:val="both"/>
      </w:pPr>
      <w:r>
        <w:rPr>
          <w:rFonts w:ascii="Times New Roman"/>
          <w:b w:val="false"/>
          <w:i w:val="false"/>
          <w:color w:val="000000"/>
          <w:sz w:val="28"/>
        </w:rPr>
        <w:t>
      4) операционный риск – риск, связанный с недостатками информационных систем или внутренних процессов, человеческими ошибками, сбоями или нарушениями в управлении платежной системой, в том числе вследствие внешних событий;</w:t>
      </w:r>
    </w:p>
    <w:bookmarkEnd w:id="23"/>
    <w:bookmarkStart w:name="z30" w:id="24"/>
    <w:p>
      <w:pPr>
        <w:spacing w:after="0"/>
        <w:ind w:left="0"/>
        <w:jc w:val="both"/>
      </w:pPr>
      <w:r>
        <w:rPr>
          <w:rFonts w:ascii="Times New Roman"/>
          <w:b w:val="false"/>
          <w:i w:val="false"/>
          <w:color w:val="000000"/>
          <w:sz w:val="28"/>
        </w:rPr>
        <w:t>
      5) электронное информационное сообщение (далее – информационное сообщение) – электронное сообщение, имеющее электронную цифровую подпись, не относящееся к платежным сообщениям и имеющее информационный характер, в том числе выписки;</w:t>
      </w:r>
    </w:p>
    <w:bookmarkEnd w:id="24"/>
    <w:bookmarkStart w:name="z31" w:id="25"/>
    <w:p>
      <w:pPr>
        <w:spacing w:after="0"/>
        <w:ind w:left="0"/>
        <w:jc w:val="both"/>
      </w:pPr>
      <w:r>
        <w:rPr>
          <w:rFonts w:ascii="Times New Roman"/>
          <w:b w:val="false"/>
          <w:i w:val="false"/>
          <w:color w:val="000000"/>
          <w:sz w:val="28"/>
        </w:rPr>
        <w:t>
      6) электронное платежное сообщение (далее – платежное сообщение) – электронное сообщение, имеющее электронную цифровую подпись, на основании которого проводятся переводы денег между участниками;</w:t>
      </w:r>
    </w:p>
    <w:bookmarkEnd w:id="25"/>
    <w:bookmarkStart w:name="z32" w:id="26"/>
    <w:p>
      <w:pPr>
        <w:spacing w:after="0"/>
        <w:ind w:left="0"/>
        <w:jc w:val="both"/>
      </w:pPr>
      <w:r>
        <w:rPr>
          <w:rFonts w:ascii="Times New Roman"/>
          <w:b w:val="false"/>
          <w:i w:val="false"/>
          <w:color w:val="000000"/>
          <w:sz w:val="28"/>
        </w:rPr>
        <w:t>
      7) электронное сообщение – совокупность информации, имеющей определенный формат и представленной в электронном виде.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Глава 2. Функции оператора платежной системы и операционного центра платежной системы</w:t>
      </w:r>
    </w:p>
    <w:bookmarkEnd w:id="27"/>
    <w:bookmarkStart w:name="z34" w:id="28"/>
    <w:p>
      <w:pPr>
        <w:spacing w:after="0"/>
        <w:ind w:left="0"/>
        <w:jc w:val="both"/>
      </w:pPr>
      <w:r>
        <w:rPr>
          <w:rFonts w:ascii="Times New Roman"/>
          <w:b w:val="false"/>
          <w:i w:val="false"/>
          <w:color w:val="000000"/>
          <w:sz w:val="28"/>
        </w:rPr>
        <w:t xml:space="preserve">
      5. Оператор платежной системы устанавливает правила платежной системы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о платежах и платежных системах, график работы платежной системы, организует и обеспечивает функционирование и управление платежной системой, а также выполняет иные функции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w:t>
      </w:r>
    </w:p>
    <w:bookmarkEnd w:id="28"/>
    <w:bookmarkStart w:name="z35" w:id="29"/>
    <w:p>
      <w:pPr>
        <w:spacing w:after="0"/>
        <w:ind w:left="0"/>
        <w:jc w:val="both"/>
      </w:pPr>
      <w:r>
        <w:rPr>
          <w:rFonts w:ascii="Times New Roman"/>
          <w:b w:val="false"/>
          <w:i w:val="false"/>
          <w:color w:val="000000"/>
          <w:sz w:val="28"/>
        </w:rPr>
        <w:t xml:space="preserve">
      6. Центр в отношении созданных им платежных систем, не относящихся к платежным системам Национального Банка, выполняет функции оператора платежной системы,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При этом правила платежной системы и иные внутренние документы по функционированию платежных систем разрабатываются и утверждаются Центром по согласованию с Национальным Банком.</w:t>
      </w:r>
    </w:p>
    <w:bookmarkEnd w:id="29"/>
    <w:bookmarkStart w:name="z36" w:id="30"/>
    <w:p>
      <w:pPr>
        <w:spacing w:after="0"/>
        <w:ind w:left="0"/>
        <w:jc w:val="both"/>
      </w:pPr>
      <w:r>
        <w:rPr>
          <w:rFonts w:ascii="Times New Roman"/>
          <w:b w:val="false"/>
          <w:i w:val="false"/>
          <w:color w:val="000000"/>
          <w:sz w:val="28"/>
        </w:rPr>
        <w:t>
      7. Если операционным центром платежной системы Национального Банка является Центр, Центр в соответствии с письменным поручением Национального Банка осуществляет операционные и технологические функции, а также заключение договоров с участниками по обработке и выдаче платежных и информационных сообщений (далее – договор об оказании услуг в платежной системе) или третьими лицами, оказывающими услуги для функционирования платежной системы.</w:t>
      </w:r>
    </w:p>
    <w:bookmarkEnd w:id="30"/>
    <w:bookmarkStart w:name="z37" w:id="31"/>
    <w:p>
      <w:pPr>
        <w:spacing w:after="0"/>
        <w:ind w:left="0"/>
        <w:jc w:val="left"/>
      </w:pPr>
      <w:r>
        <w:rPr>
          <w:rFonts w:ascii="Times New Roman"/>
          <w:b/>
          <w:i w:val="false"/>
          <w:color w:val="000000"/>
        </w:rPr>
        <w:t xml:space="preserve"> Глава 3. Условия участия в платежных системах</w:t>
      </w:r>
    </w:p>
    <w:bookmarkEnd w:id="31"/>
    <w:bookmarkStart w:name="z38" w:id="32"/>
    <w:p>
      <w:pPr>
        <w:spacing w:after="0"/>
        <w:ind w:left="0"/>
        <w:jc w:val="both"/>
      </w:pPr>
      <w:r>
        <w:rPr>
          <w:rFonts w:ascii="Times New Roman"/>
          <w:b w:val="false"/>
          <w:i w:val="false"/>
          <w:color w:val="000000"/>
          <w:sz w:val="28"/>
        </w:rPr>
        <w:t>
      8. Для участия в платежной системе, оператором которой выступает Национальный Банк, банк, филиал банка-нерезидента Республики Казахстан или организация, осуществляющая отдельные виды банковских операций, (далее – банк) заключает с Национальным Банком договор об участии в платежной системе (далее – договор об участии). Допускается заключение смешанного договора, в котором содержатся условия договора корреспондентского счета и договора об участии.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9. Если операционным центром платежной системы Национального Банка выступает Центр, банк заключает договор об оказании услуг в платежной системе с Центром.</w:t>
      </w:r>
    </w:p>
    <w:bookmarkEnd w:id="33"/>
    <w:bookmarkStart w:name="z40" w:id="34"/>
    <w:p>
      <w:pPr>
        <w:spacing w:after="0"/>
        <w:ind w:left="0"/>
        <w:jc w:val="both"/>
      </w:pPr>
      <w:r>
        <w:rPr>
          <w:rFonts w:ascii="Times New Roman"/>
          <w:b w:val="false"/>
          <w:i w:val="false"/>
          <w:color w:val="000000"/>
          <w:sz w:val="28"/>
        </w:rPr>
        <w:t>
      10. Для участия в платежной системе, оператором которой выступает Центр, банк заключает с Центром договор об участии.</w:t>
      </w:r>
    </w:p>
    <w:bookmarkEnd w:id="34"/>
    <w:bookmarkStart w:name="z41" w:id="35"/>
    <w:p>
      <w:pPr>
        <w:spacing w:after="0"/>
        <w:ind w:left="0"/>
        <w:jc w:val="both"/>
      </w:pPr>
      <w:r>
        <w:rPr>
          <w:rFonts w:ascii="Times New Roman"/>
          <w:b w:val="false"/>
          <w:i w:val="false"/>
          <w:color w:val="000000"/>
          <w:sz w:val="28"/>
        </w:rPr>
        <w:t>
      11. Договор об участии, договор об оказании услуг в платежной системе содержат:</w:t>
      </w:r>
    </w:p>
    <w:bookmarkEnd w:id="35"/>
    <w:bookmarkStart w:name="z42" w:id="36"/>
    <w:p>
      <w:pPr>
        <w:spacing w:after="0"/>
        <w:ind w:left="0"/>
        <w:jc w:val="both"/>
      </w:pPr>
      <w:r>
        <w:rPr>
          <w:rFonts w:ascii="Times New Roman"/>
          <w:b w:val="false"/>
          <w:i w:val="false"/>
          <w:color w:val="000000"/>
          <w:sz w:val="28"/>
        </w:rPr>
        <w:t>
      1) предмет договора;</w:t>
      </w:r>
    </w:p>
    <w:bookmarkEnd w:id="36"/>
    <w:bookmarkStart w:name="z43" w:id="37"/>
    <w:p>
      <w:pPr>
        <w:spacing w:after="0"/>
        <w:ind w:left="0"/>
        <w:jc w:val="both"/>
      </w:pPr>
      <w:r>
        <w:rPr>
          <w:rFonts w:ascii="Times New Roman"/>
          <w:b w:val="false"/>
          <w:i w:val="false"/>
          <w:color w:val="000000"/>
          <w:sz w:val="28"/>
        </w:rPr>
        <w:t>
      2) права и обязанности участника и Национального Банка (Центра);</w:t>
      </w:r>
    </w:p>
    <w:bookmarkEnd w:id="37"/>
    <w:bookmarkStart w:name="z44" w:id="38"/>
    <w:p>
      <w:pPr>
        <w:spacing w:after="0"/>
        <w:ind w:left="0"/>
        <w:jc w:val="both"/>
      </w:pPr>
      <w:r>
        <w:rPr>
          <w:rFonts w:ascii="Times New Roman"/>
          <w:b w:val="false"/>
          <w:i w:val="false"/>
          <w:color w:val="000000"/>
          <w:sz w:val="28"/>
        </w:rPr>
        <w:t>
      3) ответственность участника и Национального Банка (Центра) за невыполнение условий договора;</w:t>
      </w:r>
    </w:p>
    <w:bookmarkEnd w:id="38"/>
    <w:bookmarkStart w:name="z45" w:id="39"/>
    <w:p>
      <w:pPr>
        <w:spacing w:after="0"/>
        <w:ind w:left="0"/>
        <w:jc w:val="both"/>
      </w:pPr>
      <w:r>
        <w:rPr>
          <w:rFonts w:ascii="Times New Roman"/>
          <w:b w:val="false"/>
          <w:i w:val="false"/>
          <w:color w:val="000000"/>
          <w:sz w:val="28"/>
        </w:rPr>
        <w:t>
      4) порядок изменения условий и расторжения договора;</w:t>
      </w:r>
    </w:p>
    <w:bookmarkEnd w:id="39"/>
    <w:bookmarkStart w:name="z46" w:id="40"/>
    <w:p>
      <w:pPr>
        <w:spacing w:after="0"/>
        <w:ind w:left="0"/>
        <w:jc w:val="both"/>
      </w:pPr>
      <w:r>
        <w:rPr>
          <w:rFonts w:ascii="Times New Roman"/>
          <w:b w:val="false"/>
          <w:i w:val="false"/>
          <w:color w:val="000000"/>
          <w:sz w:val="28"/>
        </w:rPr>
        <w:t>
      5) порядок разрешения споров;</w:t>
      </w:r>
    </w:p>
    <w:bookmarkEnd w:id="40"/>
    <w:bookmarkStart w:name="z47" w:id="41"/>
    <w:p>
      <w:pPr>
        <w:spacing w:after="0"/>
        <w:ind w:left="0"/>
        <w:jc w:val="both"/>
      </w:pPr>
      <w:r>
        <w:rPr>
          <w:rFonts w:ascii="Times New Roman"/>
          <w:b w:val="false"/>
          <w:i w:val="false"/>
          <w:color w:val="000000"/>
          <w:sz w:val="28"/>
        </w:rPr>
        <w:t>
      6) другие условия по согласованию сторон.</w:t>
      </w:r>
    </w:p>
    <w:bookmarkEnd w:id="41"/>
    <w:bookmarkStart w:name="z48" w:id="42"/>
    <w:p>
      <w:pPr>
        <w:spacing w:after="0"/>
        <w:ind w:left="0"/>
        <w:jc w:val="both"/>
      </w:pPr>
      <w:r>
        <w:rPr>
          <w:rFonts w:ascii="Times New Roman"/>
          <w:b w:val="false"/>
          <w:i w:val="false"/>
          <w:color w:val="000000"/>
          <w:sz w:val="28"/>
        </w:rPr>
        <w:t>
      Договор об участии дополнительно содержит основные условия осуществления платежей и (или) переводов денег в платежной системе, порядок и условия завершенности (окончательности) платежа и (или) перевода денег.</w:t>
      </w:r>
    </w:p>
    <w:bookmarkEnd w:id="42"/>
    <w:bookmarkStart w:name="z49" w:id="43"/>
    <w:p>
      <w:pPr>
        <w:spacing w:after="0"/>
        <w:ind w:left="0"/>
        <w:jc w:val="both"/>
      </w:pPr>
      <w:r>
        <w:rPr>
          <w:rFonts w:ascii="Times New Roman"/>
          <w:b w:val="false"/>
          <w:i w:val="false"/>
          <w:color w:val="000000"/>
          <w:sz w:val="28"/>
        </w:rPr>
        <w:t xml:space="preserve">
      Договор об оказании услуг в платежной системе дополнительно содержит порядок оплаты услуг Центра, соблюдение режима информационной </w:t>
      </w:r>
      <w:r>
        <w:rPr>
          <w:rFonts w:ascii="Times New Roman"/>
          <w:b w:val="false"/>
          <w:i w:val="false"/>
          <w:color w:val="000000"/>
          <w:sz w:val="28"/>
        </w:rPr>
        <w:t>безопасности</w:t>
      </w:r>
      <w:r>
        <w:rPr>
          <w:rFonts w:ascii="Times New Roman"/>
          <w:b w:val="false"/>
          <w:i w:val="false"/>
          <w:color w:val="000000"/>
          <w:sz w:val="28"/>
        </w:rPr>
        <w:t xml:space="preserve">, конфиденциальности, сохранения </w:t>
      </w:r>
      <w:r>
        <w:rPr>
          <w:rFonts w:ascii="Times New Roman"/>
          <w:b w:val="false"/>
          <w:i w:val="false"/>
          <w:color w:val="000000"/>
          <w:sz w:val="28"/>
        </w:rPr>
        <w:t>банковской тайны</w:t>
      </w:r>
      <w:r>
        <w:rPr>
          <w:rFonts w:ascii="Times New Roman"/>
          <w:b w:val="false"/>
          <w:i w:val="false"/>
          <w:color w:val="000000"/>
          <w:sz w:val="28"/>
        </w:rPr>
        <w:t xml:space="preserve"> и </w:t>
      </w:r>
      <w:r>
        <w:rPr>
          <w:rFonts w:ascii="Times New Roman"/>
          <w:b w:val="false"/>
          <w:i w:val="false"/>
          <w:color w:val="000000"/>
          <w:sz w:val="28"/>
        </w:rPr>
        <w:t>защиты</w:t>
      </w:r>
      <w:r>
        <w:rPr>
          <w:rFonts w:ascii="Times New Roman"/>
          <w:b w:val="false"/>
          <w:i w:val="false"/>
          <w:color w:val="000000"/>
          <w:sz w:val="28"/>
        </w:rPr>
        <w:t xml:space="preserve"> персональных данных.</w:t>
      </w:r>
    </w:p>
    <w:bookmarkEnd w:id="43"/>
    <w:bookmarkStart w:name="z50" w:id="44"/>
    <w:p>
      <w:pPr>
        <w:spacing w:after="0"/>
        <w:ind w:left="0"/>
        <w:jc w:val="both"/>
      </w:pPr>
      <w:r>
        <w:rPr>
          <w:rFonts w:ascii="Times New Roman"/>
          <w:b w:val="false"/>
          <w:i w:val="false"/>
          <w:color w:val="000000"/>
          <w:sz w:val="28"/>
        </w:rPr>
        <w:t>
      12. Расторжение договора об участии либо признание утратившими силу условий об участии из смешанного договора (договора корреспондентского счета) влечет за собой утрату банком статуса участника.</w:t>
      </w:r>
    </w:p>
    <w:bookmarkEnd w:id="44"/>
    <w:bookmarkStart w:name="z51" w:id="45"/>
    <w:p>
      <w:pPr>
        <w:spacing w:after="0"/>
        <w:ind w:left="0"/>
        <w:jc w:val="both"/>
      </w:pPr>
      <w:r>
        <w:rPr>
          <w:rFonts w:ascii="Times New Roman"/>
          <w:b w:val="false"/>
          <w:i w:val="false"/>
          <w:color w:val="000000"/>
          <w:sz w:val="28"/>
        </w:rPr>
        <w:t>
      13. Национальный Банк участвует в платежной системе в качестве участника при проведении собственных платежей и (или) переводов денег и платежей и (или) переводов денег по указаниям клиентов.</w:t>
      </w:r>
    </w:p>
    <w:bookmarkEnd w:id="45"/>
    <w:bookmarkStart w:name="z52" w:id="46"/>
    <w:p>
      <w:pPr>
        <w:spacing w:after="0"/>
        <w:ind w:left="0"/>
        <w:jc w:val="both"/>
      </w:pPr>
      <w:r>
        <w:rPr>
          <w:rFonts w:ascii="Times New Roman"/>
          <w:b w:val="false"/>
          <w:i w:val="false"/>
          <w:color w:val="000000"/>
          <w:sz w:val="28"/>
        </w:rPr>
        <w:t>
      14. Участники оплачивают стоимость услуг, оказываемых в платежной системе, в соответствии с правилами платежной системы и условиями, определенными в договорах об участии, оказании услуг в платежной системе.</w:t>
      </w:r>
    </w:p>
    <w:bookmarkEnd w:id="46"/>
    <w:bookmarkStart w:name="z53" w:id="47"/>
    <w:p>
      <w:pPr>
        <w:spacing w:after="0"/>
        <w:ind w:left="0"/>
        <w:jc w:val="left"/>
      </w:pPr>
      <w:r>
        <w:rPr>
          <w:rFonts w:ascii="Times New Roman"/>
          <w:b/>
          <w:i w:val="false"/>
          <w:color w:val="000000"/>
        </w:rPr>
        <w:t xml:space="preserve"> Глава 4. Услуги, оказываемые Национальным Банком и (или) Центром в платежных системах, и виды операций, осуществляемых в платежных системах</w:t>
      </w:r>
    </w:p>
    <w:bookmarkEnd w:id="47"/>
    <w:bookmarkStart w:name="z54" w:id="48"/>
    <w:p>
      <w:pPr>
        <w:spacing w:after="0"/>
        <w:ind w:left="0"/>
        <w:jc w:val="both"/>
      </w:pPr>
      <w:r>
        <w:rPr>
          <w:rFonts w:ascii="Times New Roman"/>
          <w:b w:val="false"/>
          <w:i w:val="false"/>
          <w:color w:val="000000"/>
          <w:sz w:val="28"/>
        </w:rPr>
        <w:t xml:space="preserve">
      15. Национальный Банк и (или) Центр как операторы платежной системы оказывают услуги в платежной системе в соответствии с функциями оператора платежной системы, установленными </w:t>
      </w:r>
      <w:r>
        <w:rPr>
          <w:rFonts w:ascii="Times New Roman"/>
          <w:b w:val="false"/>
          <w:i w:val="false"/>
          <w:color w:val="000000"/>
          <w:sz w:val="28"/>
        </w:rPr>
        <w:t>статьей 8</w:t>
      </w:r>
      <w:r>
        <w:rPr>
          <w:rFonts w:ascii="Times New Roman"/>
          <w:b w:val="false"/>
          <w:i w:val="false"/>
          <w:color w:val="000000"/>
          <w:sz w:val="28"/>
        </w:rPr>
        <w:t xml:space="preserve"> Закона о платежах и платежных системах, в том числе, услуги:</w:t>
      </w:r>
    </w:p>
    <w:bookmarkEnd w:id="48"/>
    <w:bookmarkStart w:name="z55" w:id="49"/>
    <w:p>
      <w:pPr>
        <w:spacing w:after="0"/>
        <w:ind w:left="0"/>
        <w:jc w:val="both"/>
      </w:pPr>
      <w:r>
        <w:rPr>
          <w:rFonts w:ascii="Times New Roman"/>
          <w:b w:val="false"/>
          <w:i w:val="false"/>
          <w:color w:val="000000"/>
          <w:sz w:val="28"/>
        </w:rPr>
        <w:t>
      1) по управлению операционным днем;</w:t>
      </w:r>
    </w:p>
    <w:bookmarkEnd w:id="49"/>
    <w:bookmarkStart w:name="z56" w:id="50"/>
    <w:p>
      <w:pPr>
        <w:spacing w:after="0"/>
        <w:ind w:left="0"/>
        <w:jc w:val="both"/>
      </w:pPr>
      <w:r>
        <w:rPr>
          <w:rFonts w:ascii="Times New Roman"/>
          <w:b w:val="false"/>
          <w:i w:val="false"/>
          <w:color w:val="000000"/>
          <w:sz w:val="28"/>
        </w:rPr>
        <w:t>
      2) по переводам денег с корреспондентского счета участника в платежную систему (из платежной системы на корреспондентский счет участника), в случае, если условиями работы платежной системы предусмотрена данная процедура;</w:t>
      </w:r>
    </w:p>
    <w:bookmarkEnd w:id="50"/>
    <w:bookmarkStart w:name="z57" w:id="51"/>
    <w:p>
      <w:pPr>
        <w:spacing w:after="0"/>
        <w:ind w:left="0"/>
        <w:jc w:val="both"/>
      </w:pPr>
      <w:r>
        <w:rPr>
          <w:rFonts w:ascii="Times New Roman"/>
          <w:b w:val="false"/>
          <w:i w:val="false"/>
          <w:color w:val="000000"/>
          <w:sz w:val="28"/>
        </w:rPr>
        <w:t>
      3) по определению и применению системы управления рисками в платежной системе.</w:t>
      </w:r>
    </w:p>
    <w:bookmarkEnd w:id="51"/>
    <w:bookmarkStart w:name="z58" w:id="52"/>
    <w:p>
      <w:pPr>
        <w:spacing w:after="0"/>
        <w:ind w:left="0"/>
        <w:jc w:val="both"/>
      </w:pPr>
      <w:r>
        <w:rPr>
          <w:rFonts w:ascii="Times New Roman"/>
          <w:b w:val="false"/>
          <w:i w:val="false"/>
          <w:color w:val="000000"/>
          <w:sz w:val="28"/>
        </w:rPr>
        <w:t>
      16. Если Национальным Банком Центру поручено осуществление операционных и технологических функций, Центр оказывает участникам услуги в платежной системе:</w:t>
      </w:r>
    </w:p>
    <w:bookmarkEnd w:id="52"/>
    <w:bookmarkStart w:name="z59" w:id="53"/>
    <w:p>
      <w:pPr>
        <w:spacing w:after="0"/>
        <w:ind w:left="0"/>
        <w:jc w:val="both"/>
      </w:pPr>
      <w:r>
        <w:rPr>
          <w:rFonts w:ascii="Times New Roman"/>
          <w:b w:val="false"/>
          <w:i w:val="false"/>
          <w:color w:val="000000"/>
          <w:sz w:val="28"/>
        </w:rPr>
        <w:t>
      1) по приему и обработке платежных сообщений и осуществлению на их основе переводов денег по позициям участников;</w:t>
      </w:r>
    </w:p>
    <w:bookmarkEnd w:id="53"/>
    <w:bookmarkStart w:name="z60" w:id="54"/>
    <w:p>
      <w:pPr>
        <w:spacing w:after="0"/>
        <w:ind w:left="0"/>
        <w:jc w:val="both"/>
      </w:pPr>
      <w:r>
        <w:rPr>
          <w:rFonts w:ascii="Times New Roman"/>
          <w:b w:val="false"/>
          <w:i w:val="false"/>
          <w:color w:val="000000"/>
          <w:sz w:val="28"/>
        </w:rPr>
        <w:t>
      2) по приему, обработке и направлению участникам информационных сообщений по совершенным операциям;</w:t>
      </w:r>
    </w:p>
    <w:bookmarkEnd w:id="54"/>
    <w:bookmarkStart w:name="z61" w:id="55"/>
    <w:p>
      <w:pPr>
        <w:spacing w:after="0"/>
        <w:ind w:left="0"/>
        <w:jc w:val="both"/>
      </w:pPr>
      <w:r>
        <w:rPr>
          <w:rFonts w:ascii="Times New Roman"/>
          <w:b w:val="false"/>
          <w:i w:val="false"/>
          <w:color w:val="000000"/>
          <w:sz w:val="28"/>
        </w:rPr>
        <w:t xml:space="preserve">
      3) по выполнению иных операционных и технологических функций в обеспечение функционирования платежной системы, определенных </w:t>
      </w:r>
      <w:r>
        <w:rPr>
          <w:rFonts w:ascii="Times New Roman"/>
          <w:b w:val="false"/>
          <w:i w:val="false"/>
          <w:color w:val="000000"/>
          <w:sz w:val="28"/>
        </w:rPr>
        <w:t>статьей 8</w:t>
      </w:r>
      <w:r>
        <w:rPr>
          <w:rFonts w:ascii="Times New Roman"/>
          <w:b w:val="false"/>
          <w:i w:val="false"/>
          <w:color w:val="000000"/>
          <w:sz w:val="28"/>
        </w:rPr>
        <w:t xml:space="preserve"> Закона о платежах и платежных системах.</w:t>
      </w:r>
    </w:p>
    <w:bookmarkEnd w:id="55"/>
    <w:bookmarkStart w:name="z62" w:id="56"/>
    <w:p>
      <w:pPr>
        <w:spacing w:after="0"/>
        <w:ind w:left="0"/>
        <w:jc w:val="left"/>
      </w:pPr>
      <w:r>
        <w:rPr>
          <w:rFonts w:ascii="Times New Roman"/>
          <w:b/>
          <w:i w:val="false"/>
          <w:color w:val="000000"/>
        </w:rPr>
        <w:t xml:space="preserve"> Глава 5. Функционирование платежных систем, взаимодействие участников с платежной системой, меры информационной безопасности</w:t>
      </w:r>
    </w:p>
    <w:bookmarkEnd w:id="56"/>
    <w:bookmarkStart w:name="z63" w:id="57"/>
    <w:p>
      <w:pPr>
        <w:spacing w:after="0"/>
        <w:ind w:left="0"/>
        <w:jc w:val="both"/>
      </w:pPr>
      <w:r>
        <w:rPr>
          <w:rFonts w:ascii="Times New Roman"/>
          <w:b w:val="false"/>
          <w:i w:val="false"/>
          <w:color w:val="000000"/>
          <w:sz w:val="28"/>
        </w:rPr>
        <w:t xml:space="preserve">
      17. Порядок функционирования платежных систем устанавливается </w:t>
      </w:r>
      <w:r>
        <w:rPr>
          <w:rFonts w:ascii="Times New Roman"/>
          <w:b w:val="false"/>
          <w:i w:val="false"/>
          <w:color w:val="000000"/>
          <w:sz w:val="28"/>
        </w:rPr>
        <w:t>статьей 5</w:t>
      </w:r>
      <w:r>
        <w:rPr>
          <w:rFonts w:ascii="Times New Roman"/>
          <w:b w:val="false"/>
          <w:i w:val="false"/>
          <w:color w:val="000000"/>
          <w:sz w:val="28"/>
        </w:rPr>
        <w:t xml:space="preserve"> Закона о платежах и платежных системах, правилами платежной системы, договорами об участии либо условиями данных договоров, отраженными в смешанных договорах, заключенных участниками с Национальным Банком, договорами об оказании услуг в платежной системе, договорами с третьими лицами, оказывающими услуги для функционирования платежной системы.</w:t>
      </w:r>
    </w:p>
    <w:bookmarkEnd w:id="57"/>
    <w:bookmarkStart w:name="z64" w:id="58"/>
    <w:p>
      <w:pPr>
        <w:spacing w:after="0"/>
        <w:ind w:left="0"/>
        <w:jc w:val="both"/>
      </w:pPr>
      <w:r>
        <w:rPr>
          <w:rFonts w:ascii="Times New Roman"/>
          <w:b w:val="false"/>
          <w:i w:val="false"/>
          <w:color w:val="000000"/>
          <w:sz w:val="28"/>
        </w:rPr>
        <w:t>
      18. Открытие и закрытие операционного дня платежной системы осуществляется в соответствии с графиком работы платежной системы, установленным Национальным Банком или Центром.</w:t>
      </w:r>
    </w:p>
    <w:bookmarkEnd w:id="58"/>
    <w:bookmarkStart w:name="z65" w:id="59"/>
    <w:p>
      <w:pPr>
        <w:spacing w:after="0"/>
        <w:ind w:left="0"/>
        <w:jc w:val="both"/>
      </w:pPr>
      <w:r>
        <w:rPr>
          <w:rFonts w:ascii="Times New Roman"/>
          <w:b w:val="false"/>
          <w:i w:val="false"/>
          <w:color w:val="000000"/>
          <w:sz w:val="28"/>
        </w:rPr>
        <w:t>
      19. Передача и прием платежных и информационных сообщений в платежных системах осуществляются электронным способом.</w:t>
      </w:r>
    </w:p>
    <w:bookmarkEnd w:id="59"/>
    <w:bookmarkStart w:name="z66" w:id="60"/>
    <w:p>
      <w:pPr>
        <w:spacing w:after="0"/>
        <w:ind w:left="0"/>
        <w:jc w:val="both"/>
      </w:pPr>
      <w:r>
        <w:rPr>
          <w:rFonts w:ascii="Times New Roman"/>
          <w:b w:val="false"/>
          <w:i w:val="false"/>
          <w:color w:val="000000"/>
          <w:sz w:val="28"/>
        </w:rPr>
        <w:t>
      20. Участники обмениваются электронными сообщениями в соответствии с процедурами обмена и форматами, применяемыми в платежной системе и разработанными и утвержденными Центром по согласованию с Национальным Банком.</w:t>
      </w:r>
    </w:p>
    <w:bookmarkEnd w:id="60"/>
    <w:bookmarkStart w:name="z67" w:id="61"/>
    <w:p>
      <w:pPr>
        <w:spacing w:after="0"/>
        <w:ind w:left="0"/>
        <w:jc w:val="both"/>
      </w:pPr>
      <w:r>
        <w:rPr>
          <w:rFonts w:ascii="Times New Roman"/>
          <w:b w:val="false"/>
          <w:i w:val="false"/>
          <w:color w:val="000000"/>
          <w:sz w:val="28"/>
        </w:rPr>
        <w:t>
      21. Электронные сообщения составляются на казахском и (или) русском языках. Использование других языков при составлении электронных сообщений допускается оператором платежной системы по согласованию с Национальным Банком, за исключением случаев, когда оператором платежной системы является Национальный Банк.</w:t>
      </w:r>
    </w:p>
    <w:bookmarkEnd w:id="61"/>
    <w:bookmarkStart w:name="z68" w:id="62"/>
    <w:p>
      <w:pPr>
        <w:spacing w:after="0"/>
        <w:ind w:left="0"/>
        <w:jc w:val="both"/>
      </w:pPr>
      <w:r>
        <w:rPr>
          <w:rFonts w:ascii="Times New Roman"/>
          <w:b w:val="false"/>
          <w:i w:val="false"/>
          <w:color w:val="000000"/>
          <w:sz w:val="28"/>
        </w:rPr>
        <w:t>
      22. В платежной системе соблюдаются процедуры обеспечения информационной безопасности, установленные Национальным Банком и (или) Центром, для определения факта передачи электронных сообщений и обнаружения ошибки при их передаче.</w:t>
      </w:r>
    </w:p>
    <w:bookmarkEnd w:id="62"/>
    <w:bookmarkStart w:name="z69" w:id="63"/>
    <w:p>
      <w:pPr>
        <w:spacing w:after="0"/>
        <w:ind w:left="0"/>
        <w:jc w:val="both"/>
      </w:pPr>
      <w:r>
        <w:rPr>
          <w:rFonts w:ascii="Times New Roman"/>
          <w:b w:val="false"/>
          <w:i w:val="false"/>
          <w:color w:val="000000"/>
          <w:sz w:val="28"/>
        </w:rPr>
        <w:t>
      23. Центр разрабатывает и утверждает порядок аутентификации электронных сообщений, контролирует его соблюдение и последовательность процедур защитных действий от несанкционированных платежей.</w:t>
      </w:r>
    </w:p>
    <w:bookmarkEnd w:id="63"/>
    <w:bookmarkStart w:name="z70" w:id="64"/>
    <w:p>
      <w:pPr>
        <w:spacing w:after="0"/>
        <w:ind w:left="0"/>
        <w:jc w:val="both"/>
      </w:pPr>
      <w:r>
        <w:rPr>
          <w:rFonts w:ascii="Times New Roman"/>
          <w:b w:val="false"/>
          <w:i w:val="false"/>
          <w:color w:val="000000"/>
          <w:sz w:val="28"/>
        </w:rPr>
        <w:t>
      24. Платежная система и участники обеспечивают хранение информации и осуществляют контроль отправляемых и получаемых электронных сообщений в течение пяти лет. Все электронные сообщения, обработанные в платежной системе и участниками, оставляют аудиторский след во внутренних программных системах.</w:t>
      </w:r>
    </w:p>
    <w:bookmarkEnd w:id="64"/>
    <w:bookmarkStart w:name="z71" w:id="65"/>
    <w:p>
      <w:pPr>
        <w:spacing w:after="0"/>
        <w:ind w:left="0"/>
        <w:jc w:val="both"/>
      </w:pPr>
      <w:r>
        <w:rPr>
          <w:rFonts w:ascii="Times New Roman"/>
          <w:b w:val="false"/>
          <w:i w:val="false"/>
          <w:color w:val="000000"/>
          <w:sz w:val="28"/>
        </w:rPr>
        <w:t>
      В течение операционного дня платежной системы по запросу участника или при закрытии операционного дня платежной системы участнику представляется информационное сообщение в виде выписки о состоянии его позиции в платежной системе.</w:t>
      </w:r>
    </w:p>
    <w:bookmarkEnd w:id="65"/>
    <w:bookmarkStart w:name="z72" w:id="66"/>
    <w:p>
      <w:pPr>
        <w:spacing w:after="0"/>
        <w:ind w:left="0"/>
        <w:jc w:val="both"/>
      </w:pPr>
      <w:r>
        <w:rPr>
          <w:rFonts w:ascii="Times New Roman"/>
          <w:b w:val="false"/>
          <w:i w:val="false"/>
          <w:color w:val="000000"/>
          <w:sz w:val="28"/>
        </w:rPr>
        <w:t xml:space="preserve">
      25. Завершенность (окончательность) платежей и (или) переводов денег регулируется </w:t>
      </w:r>
      <w:r>
        <w:rPr>
          <w:rFonts w:ascii="Times New Roman"/>
          <w:b w:val="false"/>
          <w:i w:val="false"/>
          <w:color w:val="000000"/>
          <w:sz w:val="28"/>
        </w:rPr>
        <w:t>статьей 7</w:t>
      </w:r>
      <w:r>
        <w:rPr>
          <w:rFonts w:ascii="Times New Roman"/>
          <w:b w:val="false"/>
          <w:i w:val="false"/>
          <w:color w:val="000000"/>
          <w:sz w:val="28"/>
        </w:rPr>
        <w:t xml:space="preserve"> Закона о платежах и платежных системах.</w:t>
      </w:r>
    </w:p>
    <w:bookmarkEnd w:id="66"/>
    <w:bookmarkStart w:name="z73" w:id="67"/>
    <w:p>
      <w:pPr>
        <w:spacing w:after="0"/>
        <w:ind w:left="0"/>
        <w:jc w:val="both"/>
      </w:pPr>
      <w:r>
        <w:rPr>
          <w:rFonts w:ascii="Times New Roman"/>
          <w:b w:val="false"/>
          <w:i w:val="false"/>
          <w:color w:val="000000"/>
          <w:sz w:val="28"/>
        </w:rPr>
        <w:t>
      26. Отзыв платежных сообщений из платежной системы осуществляется участником путем направления Центру или Национальному Банку информационного сообщения на аннулирование платежного сообщения до его исполнения Центром или Национальным Банком.</w:t>
      </w:r>
    </w:p>
    <w:bookmarkEnd w:id="67"/>
    <w:bookmarkStart w:name="z74" w:id="68"/>
    <w:p>
      <w:pPr>
        <w:spacing w:after="0"/>
        <w:ind w:left="0"/>
        <w:jc w:val="left"/>
      </w:pPr>
      <w:r>
        <w:rPr>
          <w:rFonts w:ascii="Times New Roman"/>
          <w:b/>
          <w:i w:val="false"/>
          <w:color w:val="000000"/>
        </w:rPr>
        <w:t xml:space="preserve"> Глава 6. Методы управления рисками</w:t>
      </w:r>
    </w:p>
    <w:bookmarkEnd w:id="68"/>
    <w:bookmarkStart w:name="z75" w:id="69"/>
    <w:p>
      <w:pPr>
        <w:spacing w:after="0"/>
        <w:ind w:left="0"/>
        <w:jc w:val="both"/>
      </w:pPr>
      <w:r>
        <w:rPr>
          <w:rFonts w:ascii="Times New Roman"/>
          <w:b w:val="false"/>
          <w:i w:val="false"/>
          <w:color w:val="000000"/>
          <w:sz w:val="28"/>
        </w:rPr>
        <w:t>
      27. В платежной системе применяются методы управления рисками для урегулирования неплатежеспособности участников, обеспечивающие своевременное завершение переводов денег в случае отсутствия или недостаточности денег для осуществления переводов денег у одного или нескольких участников.</w:t>
      </w:r>
    </w:p>
    <w:bookmarkEnd w:id="69"/>
    <w:bookmarkStart w:name="z76" w:id="70"/>
    <w:p>
      <w:pPr>
        <w:spacing w:after="0"/>
        <w:ind w:left="0"/>
        <w:jc w:val="both"/>
      </w:pPr>
      <w:r>
        <w:rPr>
          <w:rFonts w:ascii="Times New Roman"/>
          <w:b w:val="false"/>
          <w:i w:val="false"/>
          <w:color w:val="000000"/>
          <w:sz w:val="28"/>
        </w:rPr>
        <w:t>
      28. Для управления операционным риском используются следующие методы:</w:t>
      </w:r>
    </w:p>
    <w:bookmarkEnd w:id="70"/>
    <w:bookmarkStart w:name="z545" w:id="71"/>
    <w:p>
      <w:pPr>
        <w:spacing w:after="0"/>
        <w:ind w:left="0"/>
        <w:jc w:val="both"/>
      </w:pPr>
      <w:r>
        <w:rPr>
          <w:rFonts w:ascii="Times New Roman"/>
          <w:b w:val="false"/>
          <w:i w:val="false"/>
          <w:color w:val="000000"/>
          <w:sz w:val="28"/>
        </w:rPr>
        <w:t xml:space="preserve">
      1) проведение Национальным Банком контроля и надзора за организацией и функционированием платежной системы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w:t>
      </w:r>
    </w:p>
    <w:bookmarkEnd w:id="71"/>
    <w:bookmarkStart w:name="z546" w:id="72"/>
    <w:p>
      <w:pPr>
        <w:spacing w:after="0"/>
        <w:ind w:left="0"/>
        <w:jc w:val="both"/>
      </w:pPr>
      <w:r>
        <w:rPr>
          <w:rFonts w:ascii="Times New Roman"/>
          <w:b w:val="false"/>
          <w:i w:val="false"/>
          <w:color w:val="000000"/>
          <w:sz w:val="28"/>
        </w:rPr>
        <w:t>
      2) постоянный мониторинг и поддержание Национальным Банком или Центром беспрерывной работы программно-технического комплекса платежной системы;</w:t>
      </w:r>
    </w:p>
    <w:bookmarkEnd w:id="72"/>
    <w:bookmarkStart w:name="z547" w:id="73"/>
    <w:p>
      <w:pPr>
        <w:spacing w:after="0"/>
        <w:ind w:left="0"/>
        <w:jc w:val="both"/>
      </w:pPr>
      <w:r>
        <w:rPr>
          <w:rFonts w:ascii="Times New Roman"/>
          <w:b w:val="false"/>
          <w:i w:val="false"/>
          <w:color w:val="000000"/>
          <w:sz w:val="28"/>
        </w:rPr>
        <w:t>
      3) поддержание в актуальном состоянии плана восстановления деятельности платежной системы с учетом возможных сценариев остановки работы платежной системы и тестирование Национальным Банком и (или) Центром данного плана с переводом работы платежной системы с основного центра на резервный центр не менее двух раз в течение года;</w:t>
      </w:r>
    </w:p>
    <w:bookmarkEnd w:id="73"/>
    <w:bookmarkStart w:name="z548" w:id="74"/>
    <w:p>
      <w:pPr>
        <w:spacing w:after="0"/>
        <w:ind w:left="0"/>
        <w:jc w:val="both"/>
      </w:pPr>
      <w:r>
        <w:rPr>
          <w:rFonts w:ascii="Times New Roman"/>
          <w:b w:val="false"/>
          <w:i w:val="false"/>
          <w:color w:val="000000"/>
          <w:sz w:val="28"/>
        </w:rPr>
        <w:t>
      4) обеспечение работоспособности резервного центра платежной системы;</w:t>
      </w:r>
    </w:p>
    <w:bookmarkEnd w:id="74"/>
    <w:bookmarkStart w:name="z549" w:id="75"/>
    <w:p>
      <w:pPr>
        <w:spacing w:after="0"/>
        <w:ind w:left="0"/>
        <w:jc w:val="both"/>
      </w:pPr>
      <w:r>
        <w:rPr>
          <w:rFonts w:ascii="Times New Roman"/>
          <w:b w:val="false"/>
          <w:i w:val="false"/>
          <w:color w:val="000000"/>
          <w:sz w:val="28"/>
        </w:rPr>
        <w:t>
      5) перевод работы платежной системы с основного центра на резервный центр при наличии сбоев или простоев в работе программно-технического комплекса платежной системы, не подлежащих восстановлению в основном центре;</w:t>
      </w:r>
    </w:p>
    <w:bookmarkEnd w:id="75"/>
    <w:bookmarkStart w:name="z550" w:id="76"/>
    <w:p>
      <w:pPr>
        <w:spacing w:after="0"/>
        <w:ind w:left="0"/>
        <w:jc w:val="both"/>
      </w:pPr>
      <w:r>
        <w:rPr>
          <w:rFonts w:ascii="Times New Roman"/>
          <w:b w:val="false"/>
          <w:i w:val="false"/>
          <w:color w:val="000000"/>
          <w:sz w:val="28"/>
        </w:rPr>
        <w:t>
      6) предоставление Национальным Банком займа "овердрафт" на основании договора, заключенного между пользователем и Национальным Банком, при недостаточности или отсутствии денег у участника для осуществления перевода денег по результатам клиринга;</w:t>
      </w:r>
    </w:p>
    <w:bookmarkEnd w:id="76"/>
    <w:bookmarkStart w:name="z551" w:id="77"/>
    <w:p>
      <w:pPr>
        <w:spacing w:after="0"/>
        <w:ind w:left="0"/>
        <w:jc w:val="both"/>
      </w:pPr>
      <w:r>
        <w:rPr>
          <w:rFonts w:ascii="Times New Roman"/>
          <w:b w:val="false"/>
          <w:i w:val="false"/>
          <w:color w:val="000000"/>
          <w:sz w:val="28"/>
        </w:rPr>
        <w:t>
      7) создание резервного фонда участников и других методов управления рисками в соответствии с заключенными договорами для обеспечения своевременного осуществления переводов денег по результатам клиринга;</w:t>
      </w:r>
    </w:p>
    <w:bookmarkEnd w:id="77"/>
    <w:p>
      <w:pPr>
        <w:spacing w:after="0"/>
        <w:ind w:left="0"/>
        <w:jc w:val="both"/>
      </w:pPr>
      <w:r>
        <w:rPr>
          <w:rFonts w:ascii="Times New Roman"/>
          <w:b w:val="false"/>
          <w:i w:val="false"/>
          <w:color w:val="000000"/>
          <w:sz w:val="28"/>
        </w:rPr>
        <w:t>
      8) резервирование денег на корреспондентском счете участника на основании его гарантийного обязательства, представленного в целях обеспечения выполнения своих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78"/>
    <w:p>
      <w:pPr>
        <w:spacing w:after="0"/>
        <w:ind w:left="0"/>
        <w:jc w:val="both"/>
      </w:pPr>
      <w:r>
        <w:rPr>
          <w:rFonts w:ascii="Times New Roman"/>
          <w:b w:val="false"/>
          <w:i w:val="false"/>
          <w:color w:val="000000"/>
          <w:sz w:val="28"/>
        </w:rPr>
        <w:t>
      29. Национальный Банк предоставляет заем "овердрафт" участникам при наличии в договоре корреспондентского счета, заключенном между участником и Национальным Банком, права Национального Банка на изъятие денег с корреспондентского счета банка суммы задолженности по предоставленному займу и вознаграждения по нему.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79"/>
    <w:p>
      <w:pPr>
        <w:spacing w:after="0"/>
        <w:ind w:left="0"/>
        <w:jc w:val="both"/>
      </w:pPr>
      <w:r>
        <w:rPr>
          <w:rFonts w:ascii="Times New Roman"/>
          <w:b w:val="false"/>
          <w:i w:val="false"/>
          <w:color w:val="000000"/>
          <w:sz w:val="28"/>
        </w:rPr>
        <w:t>
      30. Заем "овердрафт" предоставляется Национальным Банком в национальной валюте Республики Казахстан один раз в течение операционного дня соответствующей платежной системы Центра.</w:t>
      </w:r>
    </w:p>
    <w:bookmarkEnd w:id="79"/>
    <w:p>
      <w:pPr>
        <w:spacing w:after="0"/>
        <w:ind w:left="0"/>
        <w:jc w:val="both"/>
      </w:pPr>
      <w:r>
        <w:rPr>
          <w:rFonts w:ascii="Times New Roman"/>
          <w:b w:val="false"/>
          <w:i w:val="false"/>
          <w:color w:val="000000"/>
          <w:sz w:val="28"/>
        </w:rPr>
        <w:t>
      Заем "овердрафт" предоставляется не более двух раз подряд в течение последовательных операционных дней соответствующей платежной системы Центра в пределах установленного лимита на сумму, недостающую на корреспондентском счете участника в тенге в Национальном Банке для осуществления перевода денег по результатам клиринга в соответствующей платежной системе Центра, в порядке, определенном договором между участником и Национальным Банком.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80"/>
    <w:p>
      <w:pPr>
        <w:spacing w:after="0"/>
        <w:ind w:left="0"/>
        <w:jc w:val="both"/>
      </w:pPr>
      <w:r>
        <w:rPr>
          <w:rFonts w:ascii="Times New Roman"/>
          <w:b w:val="false"/>
          <w:i w:val="false"/>
          <w:color w:val="000000"/>
          <w:sz w:val="28"/>
        </w:rPr>
        <w:t>
      31. Лимит суммы займа "овердрафт" для участников устанавливается Национальным Банком и пересматривается на основании ходатайства участника.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