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0340" w14:textId="6c50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20 апреля 2015 года № 274 "Об утверждении Правил учета в органах государственных доходов обеспечения уплаты таможенных пошлин, налогов, определения суммы обеспечения уплаты таможенных пошлин, налогов, а также применения генерального обеспечения уплаты таможенных пошлин, налогов"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15 сентября 2016 года № 493. Зарегистрирован в Министерстве юстиции Республики Казахстан 13 октября 2016 года № 14323. Утратил силу приказом Министра финансов Республики Казахстан от 26 февраля 2018 года № 294.</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26.02.2018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апреля 2015 года № 274 "Об утверждении Правил учета в органах государственных доходов обеспечения уплаты таможенных пошлин, налогов, определения суммы обеспечения уплаты таможенных пошлин, налогов, а также применения генерального обеспечения уплаты таможенных пошлин, налогов" (зарегистрирован в Реестре государственной регистрации нормативных правовых актов под № 11172, опубликован в информационно-правовой системе "Әділет" 22 июня 2015 года) следующие изменения: </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учета в органах государственных доходов обеспечения уплаты таможенных пошлин, налогов, определения суммы обеспечения уплаты таможенных пошлин, налогов,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Понятия, используемые в настоящих Правилах, применяются в значениях, установленных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В настоящих Правилах под уполномоченным должностным лицом понимается должностное лицо территориального подразделения органа государственных доходов, таможни, таможенного поста (далее - подразделение органа государственных доходов), осуществляющее регистрацию обеспечения уплаты таможенных пошлин, налогов, а также производящее учет сумм обеспечения.";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Уплата таможенных пошлин, налогов обеспечивается следующими способами:</w:t>
      </w:r>
    </w:p>
    <w:p>
      <w:pPr>
        <w:spacing w:after="0"/>
        <w:ind w:left="0"/>
        <w:jc w:val="both"/>
      </w:pPr>
      <w:r>
        <w:rPr>
          <w:rFonts w:ascii="Times New Roman"/>
          <w:b w:val="false"/>
          <w:i w:val="false"/>
          <w:color w:val="000000"/>
          <w:sz w:val="28"/>
        </w:rPr>
        <w:t>
      деньгами;</w:t>
      </w:r>
    </w:p>
    <w:p>
      <w:pPr>
        <w:spacing w:after="0"/>
        <w:ind w:left="0"/>
        <w:jc w:val="both"/>
      </w:pPr>
      <w:r>
        <w:rPr>
          <w:rFonts w:ascii="Times New Roman"/>
          <w:b w:val="false"/>
          <w:i w:val="false"/>
          <w:color w:val="000000"/>
          <w:sz w:val="28"/>
        </w:rPr>
        <w:t>
      банковской гарантией;</w:t>
      </w:r>
    </w:p>
    <w:p>
      <w:pPr>
        <w:spacing w:after="0"/>
        <w:ind w:left="0"/>
        <w:jc w:val="both"/>
      </w:pPr>
      <w:r>
        <w:rPr>
          <w:rFonts w:ascii="Times New Roman"/>
          <w:b w:val="false"/>
          <w:i w:val="false"/>
          <w:color w:val="000000"/>
          <w:sz w:val="28"/>
        </w:rPr>
        <w:t>
      поручительством;</w:t>
      </w:r>
    </w:p>
    <w:p>
      <w:pPr>
        <w:spacing w:after="0"/>
        <w:ind w:left="0"/>
        <w:jc w:val="both"/>
      </w:pPr>
      <w:r>
        <w:rPr>
          <w:rFonts w:ascii="Times New Roman"/>
          <w:b w:val="false"/>
          <w:i w:val="false"/>
          <w:color w:val="000000"/>
          <w:sz w:val="28"/>
        </w:rPr>
        <w:t>
      залогом имущества;</w:t>
      </w:r>
    </w:p>
    <w:p>
      <w:pPr>
        <w:spacing w:after="0"/>
        <w:ind w:left="0"/>
        <w:jc w:val="both"/>
      </w:pPr>
      <w:r>
        <w:rPr>
          <w:rFonts w:ascii="Times New Roman"/>
          <w:b w:val="false"/>
          <w:i w:val="false"/>
          <w:color w:val="000000"/>
          <w:sz w:val="28"/>
        </w:rPr>
        <w:t>
      договором страхования.</w:t>
      </w:r>
    </w:p>
    <w:p>
      <w:pPr>
        <w:spacing w:after="0"/>
        <w:ind w:left="0"/>
        <w:jc w:val="both"/>
      </w:pPr>
      <w:r>
        <w:rPr>
          <w:rFonts w:ascii="Times New Roman"/>
          <w:b w:val="false"/>
          <w:i w:val="false"/>
          <w:color w:val="000000"/>
          <w:sz w:val="28"/>
        </w:rPr>
        <w:t xml:space="preserve">
      Обеспечение уплаты таможенных пошлин, налогов применяется при совершении таможенных операций,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143 Кодекса, а также в иных случаях, предусмотренных международными договорами Республики Казахстан.</w:t>
      </w:r>
    </w:p>
    <w:p>
      <w:pPr>
        <w:spacing w:after="0"/>
        <w:ind w:left="0"/>
        <w:jc w:val="both"/>
      </w:pPr>
      <w:r>
        <w:rPr>
          <w:rFonts w:ascii="Times New Roman"/>
          <w:b w:val="false"/>
          <w:i w:val="false"/>
          <w:color w:val="000000"/>
          <w:sz w:val="28"/>
        </w:rPr>
        <w:t>
      Обеспечение уплаты таможенных пошлин, налогов для осуществления деятельности в качестве таможенного перевозчика и (или) таможенного представителя представляется в территориальные подразделения органа государственных доходов или таможню.";</w:t>
      </w:r>
    </w:p>
    <w:bookmarkStart w:name="z5" w:id="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
    <w:p>
      <w:pPr>
        <w:spacing w:after="0"/>
        <w:ind w:left="0"/>
        <w:jc w:val="both"/>
      </w:pPr>
      <w:r>
        <w:rPr>
          <w:rFonts w:ascii="Times New Roman"/>
          <w:b w:val="false"/>
          <w:i w:val="false"/>
          <w:color w:val="000000"/>
          <w:sz w:val="28"/>
        </w:rPr>
        <w:t>
      "6. Карточка оформляется в двух экземплярах:</w:t>
      </w:r>
    </w:p>
    <w:p>
      <w:pPr>
        <w:spacing w:after="0"/>
        <w:ind w:left="0"/>
        <w:jc w:val="both"/>
      </w:pPr>
      <w:r>
        <w:rPr>
          <w:rFonts w:ascii="Times New Roman"/>
          <w:b w:val="false"/>
          <w:i w:val="false"/>
          <w:color w:val="000000"/>
          <w:sz w:val="28"/>
        </w:rPr>
        <w:t>
      первый экземпляр Карточки остается в подразделении органа государственных доходов, зарегистрировавшем ее;</w:t>
      </w:r>
    </w:p>
    <w:p>
      <w:pPr>
        <w:spacing w:after="0"/>
        <w:ind w:left="0"/>
        <w:jc w:val="both"/>
      </w:pPr>
      <w:r>
        <w:rPr>
          <w:rFonts w:ascii="Times New Roman"/>
          <w:b w:val="false"/>
          <w:i w:val="false"/>
          <w:color w:val="000000"/>
          <w:sz w:val="28"/>
        </w:rPr>
        <w:t>
      второй экземпляр, не позднее рабочего дня, следующего за днем регистрации Карточки, передается и (или) направляется в автоматизированной информационной системе в подразделение органа государственных доходов, в котором будет совершаться таможенная операция или должностному лицу, осуществляющему совершение таможенной операции.";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"10. В случае выпуска товаров до подачи таможенной декларации в соответствии со </w:t>
      </w:r>
      <w:r>
        <w:rPr>
          <w:rFonts w:ascii="Times New Roman"/>
          <w:b w:val="false"/>
          <w:i w:val="false"/>
          <w:color w:val="000000"/>
          <w:sz w:val="28"/>
        </w:rPr>
        <w:t>статьей 298</w:t>
      </w:r>
      <w:r>
        <w:rPr>
          <w:rFonts w:ascii="Times New Roman"/>
          <w:b w:val="false"/>
          <w:i w:val="false"/>
          <w:color w:val="000000"/>
          <w:sz w:val="28"/>
        </w:rPr>
        <w:t xml:space="preserve"> Кодекса, выпуск осуществляется в пределах сумм обеспечения уплаты таможенных пошлин, налогов, имеющегося у уполномоченного экономического оператора, внесенного для включения его в реестр уполномоченных экономических операторов.</w:t>
      </w:r>
    </w:p>
    <w:p>
      <w:pPr>
        <w:spacing w:after="0"/>
        <w:ind w:left="0"/>
        <w:jc w:val="both"/>
      </w:pPr>
      <w:r>
        <w:rPr>
          <w:rFonts w:ascii="Times New Roman"/>
          <w:b w:val="false"/>
          <w:i w:val="false"/>
          <w:color w:val="000000"/>
          <w:sz w:val="28"/>
        </w:rPr>
        <w:t>
      При выпуске до подачи таможенной декларации товаров, декларантом которых выступает уполномоченный экономический оператор, подразделение органа государственных доходов или должностное лицо, осуществляющее выпуск товаров, направляет информацию об этом и (или) уведомляет в автоматизированной информационной системе подразделение органа государственных доходов, зарегистрировавшее Карточку, или уполномоченное должностное лицо, с целью учета сумм обеспечения до исполнения обязательств, связанных с выпуском товаров.</w:t>
      </w:r>
    </w:p>
    <w:p>
      <w:pPr>
        <w:spacing w:after="0"/>
        <w:ind w:left="0"/>
        <w:jc w:val="both"/>
      </w:pPr>
      <w:r>
        <w:rPr>
          <w:rFonts w:ascii="Times New Roman"/>
          <w:b w:val="false"/>
          <w:i w:val="false"/>
          <w:color w:val="000000"/>
          <w:sz w:val="28"/>
        </w:rPr>
        <w:t>
      Подразделение органа государственных доходов, зарегистрировавшее Карточку, или уполномоченное должностное лицо учитывает представленную информацию о выпуске товаров до подачи таможенной декларации, декларантом которых выступает уполномоченный экономический оператор, а также направляет данную информацию и (или) уведомляет в автоматизированной информационной системе орган государственных доходов, осуществляющий ведение реестра уполномоченных экономических операторов.</w:t>
      </w:r>
    </w:p>
    <w:p>
      <w:pPr>
        <w:spacing w:after="0"/>
        <w:ind w:left="0"/>
        <w:jc w:val="both"/>
      </w:pPr>
      <w:r>
        <w:rPr>
          <w:rFonts w:ascii="Times New Roman"/>
          <w:b w:val="false"/>
          <w:i w:val="false"/>
          <w:color w:val="000000"/>
          <w:sz w:val="28"/>
        </w:rPr>
        <w:t>
      11. После завершения плательщиком таможенной операции, по которой произведено обеспечение уплаты таможенных пошлин, налогов, подразделение органа государственных доходов, в котором произведена таможенная операция, не позднее следующего рабочего дня направляет информацию об этом в подразделение органа государственных доходов, зарегистрировавшее Карточку, или уполномоченному должностному лицу с предоставлением копий подтверждающих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Подразделение органа государственных доходов, зарегистрировавшее Карточку, или уполномоченное должностное лицо для возврата сумм обеспечения уплаты таможенных пошлин осуществляет проверку документов, представленных подразделением органа государственных доходов, в котором произведена таможенная операция или должностным лицом, осуществившем таможенную операцию, на предмет своевременного и надлежащего исполнения обязательства при совершении таможенной операции.";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"15. При неисполнении или ненадлежащем исполнении плательщиком обязательств, по которым предоставлено обеспечение уплаты таможенных пошлин, налогов, в том числе в установленные сроки, подразделение органа государственных доходов, в котором произведена или должна производиться данная таможенная операция или должностное лицо, осуществившее таможенную операцию, не позднее следующего рабочего дня, в котором наступил срок исполнения обязательства или обнаружен факт неисполнения или ненадлежащего исполнения обязательства, направляют информацию об этом в подразделение органа государственных доходов, зарегистрировавшее Карточку, или уполномоченному должностному лицу с предоставлением подтверждающих документов.</w:t>
      </w:r>
    </w:p>
    <w:p>
      <w:pPr>
        <w:spacing w:after="0"/>
        <w:ind w:left="0"/>
        <w:jc w:val="both"/>
      </w:pPr>
      <w:r>
        <w:rPr>
          <w:rFonts w:ascii="Times New Roman"/>
          <w:b w:val="false"/>
          <w:i w:val="false"/>
          <w:color w:val="000000"/>
          <w:sz w:val="28"/>
        </w:rPr>
        <w:t>
      Подразделение органа государственных доходов, зарегистрировавшее Карточку или уполномоченное должностное лицо после получения информации о неисполнении или ненадлежащем исполнении плательщиком обязательств, по которым предоставлено обеспечение уплаты таможенных пошлин, налогов, в том числе в установленные сроки, принимает меры в связи с неисполнением или ненадлежащим исполнением плательщиком своих обязательств.</w:t>
      </w:r>
    </w:p>
    <w:p>
      <w:pPr>
        <w:spacing w:after="0"/>
        <w:ind w:left="0"/>
        <w:jc w:val="both"/>
      </w:pPr>
      <w:r>
        <w:rPr>
          <w:rFonts w:ascii="Times New Roman"/>
          <w:b w:val="false"/>
          <w:i w:val="false"/>
          <w:color w:val="000000"/>
          <w:sz w:val="28"/>
        </w:rPr>
        <w:t xml:space="preserve">
      16. Подразделение органа государственных доходов, зарегистрировавшее Карточку, или уполномоченное должностное лицо осуществляет ведение учета оформленных Карточек в Реестре карточек обеспечения уплаты таможенных пошлин, налогов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17. По заявлению плательщика в случае, если таможенная операция, по которой внесено обеспечение уплаты таможенных пошлин, налогов, не совершилась, Карточка подлежит аннулированию с внесением сведений об аннулировании в примечание Реестра карточек обеспечения уплаты таможенных пошлин, налогов.</w:t>
      </w:r>
    </w:p>
    <w:p>
      <w:pPr>
        <w:spacing w:after="0"/>
        <w:ind w:left="0"/>
        <w:jc w:val="both"/>
      </w:pPr>
      <w:r>
        <w:rPr>
          <w:rFonts w:ascii="Times New Roman"/>
          <w:b w:val="false"/>
          <w:i w:val="false"/>
          <w:color w:val="000000"/>
          <w:sz w:val="28"/>
        </w:rPr>
        <w:t>
      Не позднее рабочего дня, следующего за днем аннулирования Карточки, подразделение органа государственных доходов, зарегистрировавшее Карточку, или уполномоченное должностное лицо информирует подразделение органа государственных доходов, которому направлен второй экземпляр Карточки, об аннулировании Карточки.";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"19. Подразделение органа государственных доходов, зарегистрировавшее Карточку, или уполномоченное должностное лицо на основании представленных платежных документов о внесении сумм обеспечения на счет временного размещения денег, а также сведений, отраженных в Карточке, в целях учета сумм обеспечения таможенных пошлин, налогов, производит формирование Реестра платежных документов о внесении сумм обеспечения уплаты таможенных пошлин, налогов на счет временного размещения органа государственных доходов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20. Подразделение органа государственных доходов, зарегистрировавшее Карточку, или уполномоченное должностное лицо в целях учета и контроля исполнения обязательств плательщика по уплате таможенных пошлин, налогов при внесении денег на счет временного размещения денег, осуществляет ведение Лицевых карточек по суммам обеспечения уплаты таможенных пошлин, налогов (далее – Лицевая карточка по суммам обеспечения)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 При неисполнении или ненадлежащем исполнении плательщиком обязательства, обеспеченного внесением денег на счет временного размещения денег, подразделение органа государственных доходов, зарегистрировавшее Карточку, или уполномоченное должностное лицо осуществляет зачисление сумм обеспечения уплаты таможенных пошлин, налогов в бюджет.</w:t>
      </w:r>
    </w:p>
    <w:p>
      <w:pPr>
        <w:spacing w:after="0"/>
        <w:ind w:left="0"/>
        <w:jc w:val="both"/>
      </w:pPr>
      <w:r>
        <w:rPr>
          <w:rFonts w:ascii="Times New Roman"/>
          <w:b w:val="false"/>
          <w:i w:val="false"/>
          <w:color w:val="000000"/>
          <w:sz w:val="28"/>
        </w:rPr>
        <w:t>
      При этом орган государственных доходов в течение пяти рабочих дней уведомляет плательщика о зачислении сумм обеспечения уплаты таможенных пошлин, налогов со счета временного размещения денег в бюджет по неисполненному или ненадлежаще исполненному им обязательству.";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"33. Подразделение органа государственных доходов, зарегистрировавшее Карточку, или уполномоченное должностное лицо на основании представленной банковской гарантии, а также сведений, отраженных в Карточке, в целях учета сумм обеспечения таможенных пошлин, налогов, производит формирование Реестра банковских гарантий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34. Плательщик, исполнивший обязательство, обеспеченное банковской гарантией, извещает об этом банк.</w:t>
      </w:r>
    </w:p>
    <w:p>
      <w:pPr>
        <w:spacing w:after="0"/>
        <w:ind w:left="0"/>
        <w:jc w:val="both"/>
      </w:pPr>
      <w:r>
        <w:rPr>
          <w:rFonts w:ascii="Times New Roman"/>
          <w:b w:val="false"/>
          <w:i w:val="false"/>
          <w:color w:val="000000"/>
          <w:sz w:val="28"/>
        </w:rPr>
        <w:t>
      Банковская гарантия снимается с контроля, а банк-гарант уведомляется подразделением органа государственных доходов, зарегистрировавшем Карточку, или уполномоченным должностным лицом о прекращении действия банковской гарантии в случаях исполнения плательщиком обязательств, во исполнение которых представлена банковская гарантия.";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"42. Подразделение органа государственных доходов, зарегистрировавшее Карточку, или уполномоченное должностное лицо на основании представленного договора поручительства, а также сведений, отраженных в Карточке, в целях учета сумм обеспечения таможенных пошлин, налогов, производит формирование Реестра договоров поручительства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"50. Подразделение органа государственных доходов, зарегистрировавшее Карточку, или уполномоченное должностное лицо на основании представленного договора залога имущества, а также сведений, отраженных в Карточке, в целях учета сумм обеспечения таможенных пошлин, налогов, производит формирование Реестра договоров залога имущества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"58. Подразделение органа государственных доходов, зарегистрировавшее Карточку, или уполномоченное должностное лицо на основании представленного договора страхования, а также сведений, отраженных в Карточке, в целях учета сумм обеспечения таможенных пошлин, налогов, производит формирование Реестра договоров страхования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применения генерального обеспечения уплаты таможенных пошлин, налогов,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5" w:id="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 </w:t>
      </w:r>
    </w:p>
    <w:p>
      <w:pPr>
        <w:spacing w:after="0"/>
        <w:ind w:left="0"/>
        <w:jc w:val="both"/>
      </w:pPr>
      <w:r>
        <w:rPr>
          <w:rFonts w:ascii="Times New Roman"/>
          <w:b w:val="false"/>
          <w:i w:val="false"/>
          <w:color w:val="000000"/>
          <w:sz w:val="28"/>
        </w:rPr>
        <w:t xml:space="preserve">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w:t>
      </w:r>
    </w:p>
    <w:p>
      <w:pPr>
        <w:spacing w:after="0"/>
        <w:ind w:left="0"/>
        <w:jc w:val="both"/>
      </w:pPr>
      <w:r>
        <w:rPr>
          <w:rFonts w:ascii="Times New Roman"/>
          <w:b w:val="false"/>
          <w:i w:val="false"/>
          <w:color w:val="000000"/>
          <w:sz w:val="28"/>
        </w:rPr>
        <w:t xml:space="preserve">
      4) официальное опубликование настоящего приказа на интернет-ресурсе Министерства финансов Республики Казахстан. </w:t>
      </w:r>
    </w:p>
    <w:bookmarkStart w:name="z16" w:id="4"/>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2016 года № 493</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2015 года № 274</w:t>
            </w:r>
          </w:p>
        </w:tc>
      </w:tr>
    </w:tbl>
    <w:bookmarkStart w:name="z18" w:id="5"/>
    <w:p>
      <w:pPr>
        <w:spacing w:after="0"/>
        <w:ind w:left="0"/>
        <w:jc w:val="left"/>
      </w:pPr>
      <w:r>
        <w:rPr>
          <w:rFonts w:ascii="Times New Roman"/>
          <w:b/>
          <w:i w:val="false"/>
          <w:color w:val="000000"/>
        </w:rPr>
        <w:t xml:space="preserve"> Правила</w:t>
      </w:r>
      <w:r>
        <w:br/>
      </w:r>
      <w:r>
        <w:rPr>
          <w:rFonts w:ascii="Times New Roman"/>
          <w:b/>
          <w:i w:val="false"/>
          <w:color w:val="000000"/>
        </w:rPr>
        <w:t>применения генерального обеспечения уплаты</w:t>
      </w:r>
      <w:r>
        <w:br/>
      </w:r>
      <w:r>
        <w:rPr>
          <w:rFonts w:ascii="Times New Roman"/>
          <w:b/>
          <w:i w:val="false"/>
          <w:color w:val="000000"/>
        </w:rPr>
        <w:t>таможенных пошлин, налогов</w:t>
      </w:r>
      <w:r>
        <w:br/>
      </w:r>
      <w:r>
        <w:rPr>
          <w:rFonts w:ascii="Times New Roman"/>
          <w:b/>
          <w:i w:val="false"/>
          <w:color w:val="000000"/>
        </w:rPr>
        <w:t>Глава 1. Общие положения</w:t>
      </w:r>
    </w:p>
    <w:bookmarkEnd w:id="5"/>
    <w:bookmarkStart w:name="z20" w:id="6"/>
    <w:p>
      <w:pPr>
        <w:spacing w:after="0"/>
        <w:ind w:left="0"/>
        <w:jc w:val="both"/>
      </w:pPr>
      <w:r>
        <w:rPr>
          <w:rFonts w:ascii="Times New Roman"/>
          <w:b w:val="false"/>
          <w:i w:val="false"/>
          <w:color w:val="000000"/>
          <w:sz w:val="28"/>
        </w:rPr>
        <w:t xml:space="preserve">
      1. Настоящие Правила применения генерального обеспечения уплаты таможенных пошлин, налогов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(далее – Кодекс) и определяют порядок применения генерального обеспечения уплаты таможенных пошлин, налогов (далее – генеральное обеспечение).</w:t>
      </w:r>
    </w:p>
    <w:bookmarkEnd w:id="6"/>
    <w:p>
      <w:pPr>
        <w:spacing w:after="0"/>
        <w:ind w:left="0"/>
        <w:jc w:val="both"/>
      </w:pPr>
      <w:r>
        <w:rPr>
          <w:rFonts w:ascii="Times New Roman"/>
          <w:b w:val="false"/>
          <w:i w:val="false"/>
          <w:color w:val="000000"/>
          <w:sz w:val="28"/>
        </w:rPr>
        <w:t>
      В настоящих Правилах под уполномоченным должностным лицом понимается должностное лицо территориального подразделения органа государственных доходов, таможни, таможенного поста (далее - подразделение органа государственных доходов), осуществляющее регистрацию обеспечения уплаты таможенных пошлин, налогов, а также производящее учет сумм обеспечения.</w:t>
      </w:r>
    </w:p>
    <w:bookmarkStart w:name="z21" w:id="7"/>
    <w:p>
      <w:pPr>
        <w:spacing w:after="0"/>
        <w:ind w:left="0"/>
        <w:jc w:val="both"/>
      </w:pPr>
      <w:r>
        <w:rPr>
          <w:rFonts w:ascii="Times New Roman"/>
          <w:b w:val="false"/>
          <w:i w:val="false"/>
          <w:color w:val="000000"/>
          <w:sz w:val="28"/>
        </w:rPr>
        <w:t>
      2. Генеральное обеспечение принимается органами государственных доходов при совершении одним и тем же лицом на территории Республики Казахстан нескольких таможенных операций в определенный срок.</w:t>
      </w:r>
    </w:p>
    <w:bookmarkEnd w:id="7"/>
    <w:p>
      <w:pPr>
        <w:spacing w:after="0"/>
        <w:ind w:left="0"/>
        <w:jc w:val="both"/>
      </w:pPr>
      <w:r>
        <w:rPr>
          <w:rFonts w:ascii="Times New Roman"/>
          <w:b w:val="false"/>
          <w:i w:val="false"/>
          <w:color w:val="000000"/>
          <w:sz w:val="28"/>
        </w:rPr>
        <w:t>
      При этом, совершение нескольких таможенных операций по генеральному обеспечению допускается в отношении одной партии товаров.</w:t>
      </w:r>
    </w:p>
    <w:p>
      <w:pPr>
        <w:spacing w:after="0"/>
        <w:ind w:left="0"/>
        <w:jc w:val="both"/>
      </w:pPr>
      <w:r>
        <w:rPr>
          <w:rFonts w:ascii="Times New Roman"/>
          <w:b w:val="false"/>
          <w:i w:val="false"/>
          <w:color w:val="000000"/>
          <w:sz w:val="28"/>
        </w:rPr>
        <w:t>
      Генеральное обеспечение уплаты таможенных пошлин, налогов принимается органами государственных доходов на срок, определенный в заявлении плательщика таможенных пошлин, налогов (далее – плательщик). При этом срок действия генерального обеспечения уплаты таможенных пошлин, налогов должен превышать сроки исполнения плательщиком обязательств по обеспечению уплаты таможенных пошлин, налогов, возникающих в течение периода, указанного в заявлении плательщика.</w:t>
      </w:r>
    </w:p>
    <w:bookmarkStart w:name="z22" w:id="8"/>
    <w:p>
      <w:pPr>
        <w:spacing w:after="0"/>
        <w:ind w:left="0"/>
        <w:jc w:val="both"/>
      </w:pPr>
      <w:r>
        <w:rPr>
          <w:rFonts w:ascii="Times New Roman"/>
          <w:b w:val="false"/>
          <w:i w:val="false"/>
          <w:color w:val="000000"/>
          <w:sz w:val="28"/>
        </w:rPr>
        <w:t>
      3. Документом, подтверждающим внесение генерального обеспечения в орган государственных доходов, в котором будут совершаться либо начинаться таможенные операции, является Подтверждение генерального обеспечения уплаты таможенных пошлин, налогов (далее – ПГО), составленное по форме согласно приложению 1 к настоящим Правилам.</w:t>
      </w:r>
    </w:p>
    <w:bookmarkEnd w:id="8"/>
    <w:bookmarkStart w:name="z23" w:id="9"/>
    <w:p>
      <w:pPr>
        <w:spacing w:after="0"/>
        <w:ind w:left="0"/>
        <w:jc w:val="left"/>
      </w:pPr>
      <w:r>
        <w:rPr>
          <w:rFonts w:ascii="Times New Roman"/>
          <w:b/>
          <w:i w:val="false"/>
          <w:color w:val="000000"/>
        </w:rPr>
        <w:t xml:space="preserve"> Глава 2. Порядок применения генерального обеспечения</w:t>
      </w:r>
      <w:r>
        <w:br/>
      </w:r>
      <w:r>
        <w:rPr>
          <w:rFonts w:ascii="Times New Roman"/>
          <w:b/>
          <w:i w:val="false"/>
          <w:color w:val="000000"/>
        </w:rPr>
        <w:t>при совершении таможенных операций</w:t>
      </w:r>
    </w:p>
    <w:bookmarkEnd w:id="9"/>
    <w:bookmarkStart w:name="z24" w:id="10"/>
    <w:p>
      <w:pPr>
        <w:spacing w:after="0"/>
        <w:ind w:left="0"/>
        <w:jc w:val="both"/>
      </w:pPr>
      <w:r>
        <w:rPr>
          <w:rFonts w:ascii="Times New Roman"/>
          <w:b w:val="false"/>
          <w:i w:val="false"/>
          <w:color w:val="000000"/>
          <w:sz w:val="28"/>
        </w:rPr>
        <w:t>
      4. Орган государственных доходов по письменному заявлению плательщика принимает генеральное обеспечение на срок, определенный в данном заявлении.</w:t>
      </w:r>
    </w:p>
    <w:bookmarkEnd w:id="10"/>
    <w:bookmarkStart w:name="z25" w:id="11"/>
    <w:p>
      <w:pPr>
        <w:spacing w:after="0"/>
        <w:ind w:left="0"/>
        <w:jc w:val="both"/>
      </w:pPr>
      <w:r>
        <w:rPr>
          <w:rFonts w:ascii="Times New Roman"/>
          <w:b w:val="false"/>
          <w:i w:val="false"/>
          <w:color w:val="000000"/>
          <w:sz w:val="28"/>
        </w:rPr>
        <w:t>
      5. Не позднее одного рабочего дня, следующего за днем регистрации заявления в орган государственных доходов, подразделением органа государственных доходов или уполномоченным должностным лицом оформляется карточка обеспечения уплаты таможенных пошлин, налогов (далее – Карточка) на каждую таможенную операцию.</w:t>
      </w:r>
    </w:p>
    <w:bookmarkEnd w:id="11"/>
    <w:bookmarkStart w:name="z26" w:id="12"/>
    <w:p>
      <w:pPr>
        <w:spacing w:after="0"/>
        <w:ind w:left="0"/>
        <w:jc w:val="both"/>
      </w:pPr>
      <w:r>
        <w:rPr>
          <w:rFonts w:ascii="Times New Roman"/>
          <w:b w:val="false"/>
          <w:i w:val="false"/>
          <w:color w:val="000000"/>
          <w:sz w:val="28"/>
        </w:rPr>
        <w:t>
      6. Карточка оформляется в следующих экземплярах:</w:t>
      </w:r>
    </w:p>
    <w:bookmarkEnd w:id="12"/>
    <w:p>
      <w:pPr>
        <w:spacing w:after="0"/>
        <w:ind w:left="0"/>
        <w:jc w:val="both"/>
      </w:pPr>
      <w:r>
        <w:rPr>
          <w:rFonts w:ascii="Times New Roman"/>
          <w:b w:val="false"/>
          <w:i w:val="false"/>
          <w:color w:val="000000"/>
          <w:sz w:val="28"/>
        </w:rPr>
        <w:t>
      первый экземпляр Карточки остается в подразделении органа государственных доходов, зарегистрировавшем ее;</w:t>
      </w:r>
    </w:p>
    <w:p>
      <w:pPr>
        <w:spacing w:after="0"/>
        <w:ind w:left="0"/>
        <w:jc w:val="both"/>
      </w:pPr>
      <w:r>
        <w:rPr>
          <w:rFonts w:ascii="Times New Roman"/>
          <w:b w:val="false"/>
          <w:i w:val="false"/>
          <w:color w:val="000000"/>
          <w:sz w:val="28"/>
        </w:rPr>
        <w:t>
      остальные экземпляры в количестве, соответствующем таможенным операциям, не позднее рабочего дня, следующего за днем регистрации Карточки, передаются и (или) направляются в автоматизированной информационной системе в подразделения органа государственных доходов и (или) в органы государственных доходов, в которых будут совершаться таможенные операции либо должностным лицам, осуществляющим совершение таможенных операций.</w:t>
      </w:r>
    </w:p>
    <w:p>
      <w:pPr>
        <w:spacing w:after="0"/>
        <w:ind w:left="0"/>
        <w:jc w:val="both"/>
      </w:pPr>
      <w:r>
        <w:rPr>
          <w:rFonts w:ascii="Times New Roman"/>
          <w:b w:val="false"/>
          <w:i w:val="false"/>
          <w:color w:val="000000"/>
          <w:sz w:val="28"/>
        </w:rPr>
        <w:t xml:space="preserve">
      При этом, в случае предоставления генерального обеспечения уплаты таможенных пошлин, налогов для осуществления деятельности в качестве уполномоченного экономического оператора, второй экземпляр Карточки не позднее рабочего дня, следующего за днем ее регистрации, передается и (или) направляется в автоматизированной информационной системе в орган государственных доходов, который осуществляет ведение реестра уполномоченных экономических операторов. </w:t>
      </w:r>
    </w:p>
    <w:p>
      <w:pPr>
        <w:spacing w:after="0"/>
        <w:ind w:left="0"/>
        <w:jc w:val="both"/>
      </w:pPr>
      <w:r>
        <w:rPr>
          <w:rFonts w:ascii="Times New Roman"/>
          <w:b w:val="false"/>
          <w:i w:val="false"/>
          <w:color w:val="000000"/>
          <w:sz w:val="28"/>
        </w:rPr>
        <w:t>
      Генеральное обеспечение уплаты таможенных пошлин, налогов для осуществления деятельности в качестве уполномоченного экономического оператора представляется в территориальные подразделения органов государственных доходов или таможню.</w:t>
      </w:r>
    </w:p>
    <w:bookmarkStart w:name="z27" w:id="13"/>
    <w:p>
      <w:pPr>
        <w:spacing w:after="0"/>
        <w:ind w:left="0"/>
        <w:jc w:val="both"/>
      </w:pPr>
      <w:r>
        <w:rPr>
          <w:rFonts w:ascii="Times New Roman"/>
          <w:b w:val="false"/>
          <w:i w:val="false"/>
          <w:color w:val="000000"/>
          <w:sz w:val="28"/>
        </w:rPr>
        <w:t>
      7. На основании оформленных Карточек подразделение органа государственных доходов, зарегистрировавшее Карточки, или уполномоченное должностное лицо производит оформление ПГО путем заполнения граф 1-6, 11.</w:t>
      </w:r>
    </w:p>
    <w:bookmarkEnd w:id="13"/>
    <w:p>
      <w:pPr>
        <w:spacing w:after="0"/>
        <w:ind w:left="0"/>
        <w:jc w:val="both"/>
      </w:pPr>
      <w:r>
        <w:rPr>
          <w:rFonts w:ascii="Times New Roman"/>
          <w:b w:val="false"/>
          <w:i w:val="false"/>
          <w:color w:val="000000"/>
          <w:sz w:val="28"/>
        </w:rPr>
        <w:t xml:space="preserve">
      При этом подразделение органа государственных доходов, оформившее ПГО, или уполномоченное должностное лицо ведут учет ПГО, контроль за достаточностью сумм внесенного обеспечения уплаты таможенных пошлин, налогов, указанных в ПГО. </w:t>
      </w:r>
    </w:p>
    <w:bookmarkStart w:name="z28" w:id="14"/>
    <w:p>
      <w:pPr>
        <w:spacing w:after="0"/>
        <w:ind w:left="0"/>
        <w:jc w:val="both"/>
      </w:pPr>
      <w:r>
        <w:rPr>
          <w:rFonts w:ascii="Times New Roman"/>
          <w:b w:val="false"/>
          <w:i w:val="false"/>
          <w:color w:val="000000"/>
          <w:sz w:val="28"/>
        </w:rPr>
        <w:t>
      8. Регистрационный номер ПГО имеет следующую структуру:</w:t>
      </w:r>
    </w:p>
    <w:bookmarkEnd w:id="14"/>
    <w:p>
      <w:pPr>
        <w:spacing w:after="0"/>
        <w:ind w:left="0"/>
        <w:jc w:val="both"/>
      </w:pPr>
      <w:r>
        <w:rPr>
          <w:rFonts w:ascii="Times New Roman"/>
          <w:b w:val="false"/>
          <w:i w:val="false"/>
          <w:color w:val="000000"/>
          <w:sz w:val="28"/>
        </w:rPr>
        <w:t>
      00000/ДДММГГ/ННННН, где:</w:t>
      </w:r>
    </w:p>
    <w:p>
      <w:pPr>
        <w:spacing w:after="0"/>
        <w:ind w:left="0"/>
        <w:jc w:val="both"/>
      </w:pPr>
      <w:r>
        <w:rPr>
          <w:rFonts w:ascii="Times New Roman"/>
          <w:b w:val="false"/>
          <w:i w:val="false"/>
          <w:color w:val="000000"/>
          <w:sz w:val="28"/>
        </w:rPr>
        <w:t>
      00000 – код органа государственных доходов, зарегистрировавшего ПГО;</w:t>
      </w:r>
    </w:p>
    <w:p>
      <w:pPr>
        <w:spacing w:after="0"/>
        <w:ind w:left="0"/>
        <w:jc w:val="both"/>
      </w:pPr>
      <w:r>
        <w:rPr>
          <w:rFonts w:ascii="Times New Roman"/>
          <w:b w:val="false"/>
          <w:i w:val="false"/>
          <w:color w:val="000000"/>
          <w:sz w:val="28"/>
        </w:rPr>
        <w:t>
      ДД – день регистрации;</w:t>
      </w:r>
    </w:p>
    <w:p>
      <w:pPr>
        <w:spacing w:after="0"/>
        <w:ind w:left="0"/>
        <w:jc w:val="both"/>
      </w:pPr>
      <w:r>
        <w:rPr>
          <w:rFonts w:ascii="Times New Roman"/>
          <w:b w:val="false"/>
          <w:i w:val="false"/>
          <w:color w:val="000000"/>
          <w:sz w:val="28"/>
        </w:rPr>
        <w:t>
      ММ – месяц регистрации;</w:t>
      </w:r>
    </w:p>
    <w:p>
      <w:pPr>
        <w:spacing w:after="0"/>
        <w:ind w:left="0"/>
        <w:jc w:val="both"/>
      </w:pPr>
      <w:r>
        <w:rPr>
          <w:rFonts w:ascii="Times New Roman"/>
          <w:b w:val="false"/>
          <w:i w:val="false"/>
          <w:color w:val="000000"/>
          <w:sz w:val="28"/>
        </w:rPr>
        <w:t>
      ГГ – последние цифры года регистрации;</w:t>
      </w:r>
    </w:p>
    <w:p>
      <w:pPr>
        <w:spacing w:after="0"/>
        <w:ind w:left="0"/>
        <w:jc w:val="both"/>
      </w:pPr>
      <w:r>
        <w:rPr>
          <w:rFonts w:ascii="Times New Roman"/>
          <w:b w:val="false"/>
          <w:i w:val="false"/>
          <w:color w:val="000000"/>
          <w:sz w:val="28"/>
        </w:rPr>
        <w:t>
      ННННН – порядковый номер ПГО.</w:t>
      </w:r>
    </w:p>
    <w:p>
      <w:pPr>
        <w:spacing w:after="0"/>
        <w:ind w:left="0"/>
        <w:jc w:val="both"/>
      </w:pPr>
      <w:r>
        <w:rPr>
          <w:rFonts w:ascii="Times New Roman"/>
          <w:b w:val="false"/>
          <w:i w:val="false"/>
          <w:color w:val="000000"/>
          <w:sz w:val="28"/>
        </w:rPr>
        <w:t>
      Нумерация порядковых номеров ПГО начинается с единицы. С 1 января каждого последующего календарного года нумерация порядковых номеров ПГО начинается с единицы.</w:t>
      </w:r>
    </w:p>
    <w:bookmarkStart w:name="z29" w:id="15"/>
    <w:p>
      <w:pPr>
        <w:spacing w:after="0"/>
        <w:ind w:left="0"/>
        <w:jc w:val="both"/>
      </w:pPr>
      <w:r>
        <w:rPr>
          <w:rFonts w:ascii="Times New Roman"/>
          <w:b w:val="false"/>
          <w:i w:val="false"/>
          <w:color w:val="000000"/>
          <w:sz w:val="28"/>
        </w:rPr>
        <w:t xml:space="preserve">
      9. ПГО оформляется в следующих экземплярах: </w:t>
      </w:r>
    </w:p>
    <w:bookmarkEnd w:id="15"/>
    <w:p>
      <w:pPr>
        <w:spacing w:after="0"/>
        <w:ind w:left="0"/>
        <w:jc w:val="both"/>
      </w:pPr>
      <w:r>
        <w:rPr>
          <w:rFonts w:ascii="Times New Roman"/>
          <w:b w:val="false"/>
          <w:i w:val="false"/>
          <w:color w:val="000000"/>
          <w:sz w:val="28"/>
        </w:rPr>
        <w:t>
      первый экземпляр ПГО остается в подразделении органа государственных доходов, зарегистрировавшем ПГО;</w:t>
      </w:r>
    </w:p>
    <w:p>
      <w:pPr>
        <w:spacing w:after="0"/>
        <w:ind w:left="0"/>
        <w:jc w:val="both"/>
      </w:pPr>
      <w:r>
        <w:rPr>
          <w:rFonts w:ascii="Times New Roman"/>
          <w:b w:val="false"/>
          <w:i w:val="false"/>
          <w:color w:val="000000"/>
          <w:sz w:val="28"/>
        </w:rPr>
        <w:t>
      остальные экземпляры ПГО в количестве, соответствующем таможенным операциям, передаются и (или) направляются в автоматизированной информационной системе в подразделение органа государственных доходов и (или) в органы государственных доходов, в которых будут совершаться таможенные операции либо должностным лицам, осуществляющим совершение таможенных операций.</w:t>
      </w:r>
    </w:p>
    <w:p>
      <w:pPr>
        <w:spacing w:after="0"/>
        <w:ind w:left="0"/>
        <w:jc w:val="both"/>
      </w:pPr>
      <w:r>
        <w:rPr>
          <w:rFonts w:ascii="Times New Roman"/>
          <w:b w:val="false"/>
          <w:i w:val="false"/>
          <w:color w:val="000000"/>
          <w:sz w:val="28"/>
        </w:rPr>
        <w:t>
      Не позднее десяти дней, следующих за днем регистрации в органе государственных доходов заявления плательщика о принятии генерального обеспечения, плательщику направляется уведомление о регистрации или отказе в регистрации генерального обеспечения, с указанием причин такого отказа.</w:t>
      </w:r>
    </w:p>
    <w:bookmarkStart w:name="z30" w:id="16"/>
    <w:p>
      <w:pPr>
        <w:spacing w:after="0"/>
        <w:ind w:left="0"/>
        <w:jc w:val="both"/>
      </w:pPr>
      <w:r>
        <w:rPr>
          <w:rFonts w:ascii="Times New Roman"/>
          <w:b w:val="false"/>
          <w:i w:val="false"/>
          <w:color w:val="000000"/>
          <w:sz w:val="28"/>
        </w:rPr>
        <w:t>
      10. По заявлению плательщика формируется Дополнение к подтверждению генерального обеспечения уплаты таможенных пошлин, налогов по форме согласно приложению 2 к настоящим Правилам, а также отражаются соответствующие изменения в Реестре подтверждений генерального обеспечения уплаты таможенных пошлин, налогов (далее – Реестр ПГО) по форме согласно приложению 3 к настоящим Правилам, в следующих случаях:</w:t>
      </w:r>
    </w:p>
    <w:bookmarkEnd w:id="16"/>
    <w:p>
      <w:pPr>
        <w:spacing w:after="0"/>
        <w:ind w:left="0"/>
        <w:jc w:val="both"/>
      </w:pPr>
      <w:r>
        <w:rPr>
          <w:rFonts w:ascii="Times New Roman"/>
          <w:b w:val="false"/>
          <w:i w:val="false"/>
          <w:color w:val="000000"/>
          <w:sz w:val="28"/>
        </w:rPr>
        <w:t>
      продление срока действия обеспечения уплаты таможенных пошлин, налогов, связанное с продлением срока совершения таможенной операции;</w:t>
      </w:r>
    </w:p>
    <w:p>
      <w:pPr>
        <w:spacing w:after="0"/>
        <w:ind w:left="0"/>
        <w:jc w:val="both"/>
      </w:pPr>
      <w:r>
        <w:rPr>
          <w:rFonts w:ascii="Times New Roman"/>
          <w:b w:val="false"/>
          <w:i w:val="false"/>
          <w:color w:val="000000"/>
          <w:sz w:val="28"/>
        </w:rPr>
        <w:t>
      продление срока действия банковской гарантии, договора залога имущества, договора поручительства, договора страхования;</w:t>
      </w:r>
    </w:p>
    <w:p>
      <w:pPr>
        <w:spacing w:after="0"/>
        <w:ind w:left="0"/>
        <w:jc w:val="both"/>
      </w:pPr>
      <w:r>
        <w:rPr>
          <w:rFonts w:ascii="Times New Roman"/>
          <w:b w:val="false"/>
          <w:i w:val="false"/>
          <w:color w:val="000000"/>
          <w:sz w:val="28"/>
        </w:rPr>
        <w:t>
      реорганизация юридического лица, представившего обеспечение уплаты таможенных пошлин, налогов или юридического лица, являющегося гарантом,</w:t>
      </w:r>
    </w:p>
    <w:p>
      <w:pPr>
        <w:spacing w:after="0"/>
        <w:ind w:left="0"/>
        <w:jc w:val="both"/>
      </w:pPr>
      <w:r>
        <w:rPr>
          <w:rFonts w:ascii="Times New Roman"/>
          <w:b w:val="false"/>
          <w:i w:val="false"/>
          <w:color w:val="000000"/>
          <w:sz w:val="28"/>
        </w:rPr>
        <w:t>
      уменьшение сумм обеспечения уплаты таможенных пошлин, налогов, по результатам таможенной очистки части товаров, ввезенных в одной товарной партии.</w:t>
      </w:r>
    </w:p>
    <w:bookmarkStart w:name="z31" w:id="17"/>
    <w:p>
      <w:pPr>
        <w:spacing w:after="0"/>
        <w:ind w:left="0"/>
        <w:jc w:val="both"/>
      </w:pPr>
      <w:r>
        <w:rPr>
          <w:rFonts w:ascii="Times New Roman"/>
          <w:b w:val="false"/>
          <w:i w:val="false"/>
          <w:color w:val="000000"/>
          <w:sz w:val="28"/>
        </w:rPr>
        <w:t>
      11. Учет оформленных ПГО осуществляется подразделением органа государственных доходов, оформившим ПГО, или уполномоченным должностным лицом в Реестре ПГО.</w:t>
      </w:r>
    </w:p>
    <w:bookmarkEnd w:id="17"/>
    <w:bookmarkStart w:name="z32" w:id="18"/>
    <w:p>
      <w:pPr>
        <w:spacing w:after="0"/>
        <w:ind w:left="0"/>
        <w:jc w:val="both"/>
      </w:pPr>
      <w:r>
        <w:rPr>
          <w:rFonts w:ascii="Times New Roman"/>
          <w:b w:val="false"/>
          <w:i w:val="false"/>
          <w:color w:val="000000"/>
          <w:sz w:val="28"/>
        </w:rPr>
        <w:t>
      12. При совершении плательщиком таможенных операций, подразделение органа государственных доходов и (или) орган государственных доходов, в которых осуществляются данные таможенные операции либо должностные лица, осуществляющие совершение таможенных операций, производят сверку информации, указанной в ПГО, представленном плательщиком с Карточкой, переданной (направленной) подразделением органа государственных доходов, оформившим ПГО, или уполномоченным должностным лицом.</w:t>
      </w:r>
    </w:p>
    <w:bookmarkEnd w:id="18"/>
    <w:bookmarkStart w:name="z33" w:id="19"/>
    <w:p>
      <w:pPr>
        <w:spacing w:after="0"/>
        <w:ind w:left="0"/>
        <w:jc w:val="both"/>
      </w:pPr>
      <w:r>
        <w:rPr>
          <w:rFonts w:ascii="Times New Roman"/>
          <w:b w:val="false"/>
          <w:i w:val="false"/>
          <w:color w:val="000000"/>
          <w:sz w:val="28"/>
        </w:rPr>
        <w:t xml:space="preserve">
      13. После завершения плательщиком таможенной операции, подразделение органа государственных доходов и (или) орган государственных доходов, в котором осуществляется таможенная операция, либо должностные лица, осуществляющие совершение таможенных операций производят заполнение граф 7-10 ПГО. </w:t>
      </w:r>
    </w:p>
    <w:bookmarkEnd w:id="19"/>
    <w:bookmarkStart w:name="z34" w:id="20"/>
    <w:p>
      <w:pPr>
        <w:spacing w:after="0"/>
        <w:ind w:left="0"/>
        <w:jc w:val="both"/>
      </w:pPr>
      <w:r>
        <w:rPr>
          <w:rFonts w:ascii="Times New Roman"/>
          <w:b w:val="false"/>
          <w:i w:val="false"/>
          <w:color w:val="000000"/>
          <w:sz w:val="28"/>
        </w:rPr>
        <w:t>
      14. После завершения плательщиком таможенной операции, по которой произведено обеспечение уплаты таможенных пошлин, налогов, подразделение органа государственных доходов и (или) орган государственных доходов, в котором произведена таможенная операция либо должностные лица, осуществляющие совершение таможенных операций, не позднее следующего рабочего дня, направляют информацию об этом в подразделение органа государственных доходов, оформившее ПГО, или уполномоченному должностному лицу с предоставлением подтверждающих документов.</w:t>
      </w:r>
    </w:p>
    <w:bookmarkEnd w:id="20"/>
    <w:bookmarkStart w:name="z35" w:id="21"/>
    <w:p>
      <w:pPr>
        <w:spacing w:after="0"/>
        <w:ind w:left="0"/>
        <w:jc w:val="both"/>
      </w:pPr>
      <w:r>
        <w:rPr>
          <w:rFonts w:ascii="Times New Roman"/>
          <w:b w:val="false"/>
          <w:i w:val="false"/>
          <w:color w:val="000000"/>
          <w:sz w:val="28"/>
        </w:rPr>
        <w:t>
      15. Плательщик в письменной форме обращается в орган государственных доходов, оформивший ПГО, о возврате сумм обеспечения уплаты таможенных пошлин, налогов с предоставлением документов, подтверждающих своевременное и надлежащее исполнение обязательств при совершении таможенной операции.</w:t>
      </w:r>
    </w:p>
    <w:bookmarkEnd w:id="21"/>
    <w:bookmarkStart w:name="z36" w:id="22"/>
    <w:p>
      <w:pPr>
        <w:spacing w:after="0"/>
        <w:ind w:left="0"/>
        <w:jc w:val="both"/>
      </w:pPr>
      <w:r>
        <w:rPr>
          <w:rFonts w:ascii="Times New Roman"/>
          <w:b w:val="false"/>
          <w:i w:val="false"/>
          <w:color w:val="000000"/>
          <w:sz w:val="28"/>
        </w:rPr>
        <w:t>
      16. После своевременного и надлежащего исполнения обязательств по таможенным операциям, указанным в ПГО, подразделение органа государственных доходов, оформившее ПГО, или уполномоченное должностное лицо снимает с контроля ПГО.</w:t>
      </w:r>
    </w:p>
    <w:bookmarkEnd w:id="22"/>
    <w:bookmarkStart w:name="z37" w:id="23"/>
    <w:p>
      <w:pPr>
        <w:spacing w:after="0"/>
        <w:ind w:left="0"/>
        <w:jc w:val="both"/>
      </w:pPr>
      <w:r>
        <w:rPr>
          <w:rFonts w:ascii="Times New Roman"/>
          <w:b w:val="false"/>
          <w:i w:val="false"/>
          <w:color w:val="000000"/>
          <w:sz w:val="28"/>
        </w:rPr>
        <w:t>
      17. Подразделение органа государственных доходов, оформившее ПГО, или уполномоченное должностное лицо для возврата сумм обеспечения уплаты таможенных пошлин осуществляет проверку документов, представленных подразделением органа государственных доходов и (или) органом государственных доходов, в котором произведена таможенная операция либо должностными лицами, осуществившими совершение таможенных операций, на предмет своевременного и надлежащего исполнения обязательства при совершении таможенной операции.</w:t>
      </w:r>
    </w:p>
    <w:bookmarkEnd w:id="23"/>
    <w:bookmarkStart w:name="z38" w:id="24"/>
    <w:p>
      <w:pPr>
        <w:spacing w:after="0"/>
        <w:ind w:left="0"/>
        <w:jc w:val="both"/>
      </w:pPr>
      <w:r>
        <w:rPr>
          <w:rFonts w:ascii="Times New Roman"/>
          <w:b w:val="false"/>
          <w:i w:val="false"/>
          <w:color w:val="000000"/>
          <w:sz w:val="28"/>
        </w:rPr>
        <w:t xml:space="preserve">
      18. Возврат сумм обеспечения уплаты таможенных пошлин, налогов производится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4"/>
    <w:bookmarkStart w:name="z39" w:id="25"/>
    <w:p>
      <w:pPr>
        <w:spacing w:after="0"/>
        <w:ind w:left="0"/>
        <w:jc w:val="both"/>
      </w:pPr>
      <w:r>
        <w:rPr>
          <w:rFonts w:ascii="Times New Roman"/>
          <w:b w:val="false"/>
          <w:i w:val="false"/>
          <w:color w:val="000000"/>
          <w:sz w:val="28"/>
        </w:rPr>
        <w:t>
      19. При неисполнении или ненадлежащем исполнении плательщиком обязательства, по которому предоставлено обеспечение уплаты таможенных пошлин, налогов, в том числе в установленные сроки, подразделение органа государственных доходов, в котором произведена или должна производиться данная таможенная операция или должностное лицо такого органа государственных доходов, не позднее следующего рабочего дня, в котором наступил срок исполнения обязательства или обнаружен факт неисполнения или ненадлежащего исполнения обязательства, направляют информацию об этом в подразделение органа государственных доходов, оформившее ПГО, или уполномоченному должностному лицу с предоставлением подтверждающих документов.</w:t>
      </w:r>
    </w:p>
    <w:bookmarkEnd w:id="25"/>
    <w:p>
      <w:pPr>
        <w:spacing w:after="0"/>
        <w:ind w:left="0"/>
        <w:jc w:val="both"/>
      </w:pPr>
      <w:r>
        <w:rPr>
          <w:rFonts w:ascii="Times New Roman"/>
          <w:b w:val="false"/>
          <w:i w:val="false"/>
          <w:color w:val="000000"/>
          <w:sz w:val="28"/>
        </w:rPr>
        <w:t>
      Подразделение органа государственных доходов, оформившее ПГО или уполномоченное должностное лицо после получения информации о неисполнении или ненадлежащем исполнении плательщиком обязательств, по которым предоставлено обеспечение уплаты таможенных пошлин, налогов, в том числе в установленные сроки, принимает меры в связи с неисполнением или ненадлежащим исполнением плательщиком своих обязательств.</w:t>
      </w:r>
    </w:p>
    <w:bookmarkStart w:name="z40" w:id="26"/>
    <w:p>
      <w:pPr>
        <w:spacing w:after="0"/>
        <w:ind w:left="0"/>
        <w:jc w:val="both"/>
      </w:pPr>
      <w:r>
        <w:rPr>
          <w:rFonts w:ascii="Times New Roman"/>
          <w:b w:val="false"/>
          <w:i w:val="false"/>
          <w:color w:val="000000"/>
          <w:sz w:val="28"/>
        </w:rPr>
        <w:t>
      20. По заявлению плательщика в случае, если таможенные операции, по которым внесено обеспечение уплаты таможенных пошлин, налогов, не совершались, ПГО подлежит аннулированию с внесением сведений об аннулированиии в примечание Реестра ПГО.</w:t>
      </w:r>
    </w:p>
    <w:bookmarkEnd w:id="26"/>
    <w:p>
      <w:pPr>
        <w:spacing w:after="0"/>
        <w:ind w:left="0"/>
        <w:jc w:val="both"/>
      </w:pPr>
      <w:r>
        <w:rPr>
          <w:rFonts w:ascii="Times New Roman"/>
          <w:b w:val="false"/>
          <w:i w:val="false"/>
          <w:color w:val="000000"/>
          <w:sz w:val="28"/>
        </w:rPr>
        <w:t>
      Не позднее рабочего дня, следующего за днем аннулирования ПГО, подразделение органа государственных доходов, оформившее ПГО, или уполномоченное должностное лицо информируют подразделения органов государственных доходов и (или) органы государственных доходов либо их должностных лиц, которым направлены экземпляры ПГО, об аннулировании ПГО.</w:t>
      </w:r>
    </w:p>
    <w:bookmarkStart w:name="z41" w:id="27"/>
    <w:p>
      <w:pPr>
        <w:spacing w:after="0"/>
        <w:ind w:left="0"/>
        <w:jc w:val="both"/>
      </w:pPr>
      <w:r>
        <w:rPr>
          <w:rFonts w:ascii="Times New Roman"/>
          <w:b w:val="false"/>
          <w:i w:val="false"/>
          <w:color w:val="000000"/>
          <w:sz w:val="28"/>
        </w:rPr>
        <w:t>
      21. В случае отмены совершения таможенной операции, плательщик обращается в подразделение органа государственных доходов и (или) в орган государственных доходов, в котором планировалось совершение таможенной операции с заявлением о том, что таможенная операция совершаться не будет.</w:t>
      </w:r>
    </w:p>
    <w:bookmarkEnd w:id="27"/>
    <w:p>
      <w:pPr>
        <w:spacing w:after="0"/>
        <w:ind w:left="0"/>
        <w:jc w:val="both"/>
      </w:pPr>
      <w:r>
        <w:rPr>
          <w:rFonts w:ascii="Times New Roman"/>
          <w:b w:val="false"/>
          <w:i w:val="false"/>
          <w:color w:val="000000"/>
          <w:sz w:val="28"/>
        </w:rPr>
        <w:t>
      Подразделение органа государственных доходов и (или) орган государственных доходов либо их должностные лица, на основании заявления плательщика направляют соответствующую информацию в подразделение органа государственных доходов, оформившее ПГО, или уполномоченному должностному лицу.</w:t>
      </w:r>
    </w:p>
    <w:p>
      <w:pPr>
        <w:spacing w:after="0"/>
        <w:ind w:left="0"/>
        <w:jc w:val="both"/>
      </w:pPr>
      <w:r>
        <w:rPr>
          <w:rFonts w:ascii="Times New Roman"/>
          <w:b w:val="false"/>
          <w:i w:val="false"/>
          <w:color w:val="000000"/>
          <w:sz w:val="28"/>
        </w:rPr>
        <w:t>
      Подразделение органа государственных доходов, оформившее ПГО, или уполномоченное должностное лицо после получения информации, указанной в настоящем пункте, отражает данную информацию в примечаниях ПГО и Реестре ПГО.</w:t>
      </w:r>
    </w:p>
    <w:bookmarkStart w:name="z42" w:id="28"/>
    <w:p>
      <w:pPr>
        <w:spacing w:after="0"/>
        <w:ind w:left="0"/>
        <w:jc w:val="both"/>
      </w:pPr>
      <w:r>
        <w:rPr>
          <w:rFonts w:ascii="Times New Roman"/>
          <w:b w:val="false"/>
          <w:i w:val="false"/>
          <w:color w:val="000000"/>
          <w:sz w:val="28"/>
        </w:rPr>
        <w:t>
      22. При неисполнении или ненадлежащем исполнении плательщиком обязательства по таможенной операции, орган государственных доходов, оформивший ПГО выполняет соответственно одно или несколько из следующих действий:</w:t>
      </w:r>
    </w:p>
    <w:bookmarkEnd w:id="28"/>
    <w:p>
      <w:pPr>
        <w:spacing w:after="0"/>
        <w:ind w:left="0"/>
        <w:jc w:val="both"/>
      </w:pPr>
      <w:r>
        <w:rPr>
          <w:rFonts w:ascii="Times New Roman"/>
          <w:b w:val="false"/>
          <w:i w:val="false"/>
          <w:color w:val="000000"/>
          <w:sz w:val="28"/>
        </w:rPr>
        <w:t xml:space="preserve">
      перечисляет со счета временного размещения денег в бюджет, подлежащие уплате суммы таможенных пошлин, налогов; </w:t>
      </w:r>
    </w:p>
    <w:p>
      <w:pPr>
        <w:spacing w:after="0"/>
        <w:ind w:left="0"/>
        <w:jc w:val="both"/>
      </w:pPr>
      <w:r>
        <w:rPr>
          <w:rFonts w:ascii="Times New Roman"/>
          <w:b w:val="false"/>
          <w:i w:val="false"/>
          <w:color w:val="000000"/>
          <w:sz w:val="28"/>
        </w:rPr>
        <w:t>
      предъявляет требование к банку-гаранту об уплате причитающихся сумм таможенных пошлин, налогов;</w:t>
      </w:r>
    </w:p>
    <w:p>
      <w:pPr>
        <w:spacing w:after="0"/>
        <w:ind w:left="0"/>
        <w:jc w:val="both"/>
      </w:pPr>
      <w:r>
        <w:rPr>
          <w:rFonts w:ascii="Times New Roman"/>
          <w:b w:val="false"/>
          <w:i w:val="false"/>
          <w:color w:val="000000"/>
          <w:sz w:val="28"/>
        </w:rPr>
        <w:t>
      направляет залогодателю требование об уплате причитающихся сумм таможенных пошлин, налогов;</w:t>
      </w:r>
    </w:p>
    <w:p>
      <w:pPr>
        <w:spacing w:after="0"/>
        <w:ind w:left="0"/>
        <w:jc w:val="both"/>
      </w:pPr>
      <w:r>
        <w:rPr>
          <w:rFonts w:ascii="Times New Roman"/>
          <w:b w:val="false"/>
          <w:i w:val="false"/>
          <w:color w:val="000000"/>
          <w:sz w:val="28"/>
        </w:rPr>
        <w:t>
      направляет поручителю требование об уплате причитающихся сумм таможенных пошлин, налогов;</w:t>
      </w:r>
    </w:p>
    <w:p>
      <w:pPr>
        <w:spacing w:after="0"/>
        <w:ind w:left="0"/>
        <w:jc w:val="both"/>
      </w:pPr>
      <w:r>
        <w:rPr>
          <w:rFonts w:ascii="Times New Roman"/>
          <w:b w:val="false"/>
          <w:i w:val="false"/>
          <w:color w:val="000000"/>
          <w:sz w:val="28"/>
        </w:rPr>
        <w:t>
      направляет страховой организации требование об уплате причитающихся сумм таможенных пошлин, налогов.</w:t>
      </w:r>
    </w:p>
    <w:bookmarkStart w:name="z43" w:id="29"/>
    <w:p>
      <w:pPr>
        <w:spacing w:after="0"/>
        <w:ind w:left="0"/>
        <w:jc w:val="both"/>
      </w:pPr>
      <w:r>
        <w:rPr>
          <w:rFonts w:ascii="Times New Roman"/>
          <w:b w:val="false"/>
          <w:i w:val="false"/>
          <w:color w:val="000000"/>
          <w:sz w:val="28"/>
        </w:rPr>
        <w:t>
      23. ПГО на совершение таможенных операций при неисполненных обязательствах по уплате сумм таможенных пошлин, налогов в случае неисполнения или ненадлежащего исполнения обязанностей (требований, условий, ограничений) по предыдущим таможенным операциям не оформляется до соответствующего исполнения указанных обязательств.</w:t>
      </w:r>
    </w:p>
    <w:bookmarkEnd w:id="29"/>
    <w:bookmarkStart w:name="z44" w:id="30"/>
    <w:p>
      <w:pPr>
        <w:spacing w:after="0"/>
        <w:ind w:left="0"/>
        <w:jc w:val="left"/>
      </w:pPr>
      <w:r>
        <w:rPr>
          <w:rFonts w:ascii="Times New Roman"/>
          <w:b/>
          <w:i w:val="false"/>
          <w:color w:val="000000"/>
        </w:rPr>
        <w:t xml:space="preserve"> Глава 3. Учет генерального обеспечения уплаты таможенных</w:t>
      </w:r>
      <w:r>
        <w:br/>
      </w:r>
      <w:r>
        <w:rPr>
          <w:rFonts w:ascii="Times New Roman"/>
          <w:b/>
          <w:i w:val="false"/>
          <w:color w:val="000000"/>
        </w:rPr>
        <w:t>пошлин, налогов</w:t>
      </w:r>
    </w:p>
    <w:bookmarkEnd w:id="30"/>
    <w:bookmarkStart w:name="z45" w:id="31"/>
    <w:p>
      <w:pPr>
        <w:spacing w:after="0"/>
        <w:ind w:left="0"/>
        <w:jc w:val="both"/>
      </w:pPr>
      <w:r>
        <w:rPr>
          <w:rFonts w:ascii="Times New Roman"/>
          <w:b w:val="false"/>
          <w:i w:val="false"/>
          <w:color w:val="000000"/>
          <w:sz w:val="28"/>
        </w:rPr>
        <w:t>
      24. Подразделение органа государственных доходов, оформившее ПГО, или уполномоченное должностное лицо в целях учета и контроля исполнения обязательств плательщика по генеральному обеспечению уплаты таможенных пошлин, налогов, осуществляет ведение Лицевых карточек по учету генерального обеспечения уплаты таможенных пошлин, налогов (далее – Лицевая карточка по учету генерального обеспечения) по форме согласно приложению 4 к настоящим Правилам.</w:t>
      </w:r>
    </w:p>
    <w:bookmarkEnd w:id="31"/>
    <w:bookmarkStart w:name="z46" w:id="32"/>
    <w:p>
      <w:pPr>
        <w:spacing w:after="0"/>
        <w:ind w:left="0"/>
        <w:jc w:val="both"/>
      </w:pPr>
      <w:r>
        <w:rPr>
          <w:rFonts w:ascii="Times New Roman"/>
          <w:b w:val="false"/>
          <w:i w:val="false"/>
          <w:color w:val="000000"/>
          <w:sz w:val="28"/>
        </w:rPr>
        <w:t>
      25. Лицевая карточка по учету генерального обеспечения открывается отдельно для каждого плательщика в целях учета сумм обеспечения уплаты таможенных пошлин, налогов, на основании принятых обязательств по уплате таможенных пошлин, налогов.</w:t>
      </w:r>
    </w:p>
    <w:bookmarkEnd w:id="32"/>
    <w:bookmarkStart w:name="z47" w:id="33"/>
    <w:p>
      <w:pPr>
        <w:spacing w:after="0"/>
        <w:ind w:left="0"/>
        <w:jc w:val="both"/>
      </w:pPr>
      <w:r>
        <w:rPr>
          <w:rFonts w:ascii="Times New Roman"/>
          <w:b w:val="false"/>
          <w:i w:val="false"/>
          <w:color w:val="000000"/>
          <w:sz w:val="28"/>
        </w:rPr>
        <w:t>
      26. Учет генерального обеспечения уплаты таможенных пошлин, налогов ведется на бумажных носителях и (или) в автоматизированной системе.</w:t>
      </w:r>
    </w:p>
    <w:bookmarkEnd w:id="33"/>
    <w:bookmarkStart w:name="z48" w:id="34"/>
    <w:p>
      <w:pPr>
        <w:spacing w:after="0"/>
        <w:ind w:left="0"/>
        <w:jc w:val="both"/>
      </w:pPr>
      <w:r>
        <w:rPr>
          <w:rFonts w:ascii="Times New Roman"/>
          <w:b w:val="false"/>
          <w:i w:val="false"/>
          <w:color w:val="000000"/>
          <w:sz w:val="28"/>
        </w:rPr>
        <w:t>
      27. Лицевая карточка по учету генерального обеспечения открывается на каждый календарный год.</w:t>
      </w:r>
    </w:p>
    <w:bookmarkEnd w:id="34"/>
    <w:p>
      <w:pPr>
        <w:spacing w:after="0"/>
        <w:ind w:left="0"/>
        <w:jc w:val="both"/>
      </w:pPr>
      <w:r>
        <w:rPr>
          <w:rFonts w:ascii="Times New Roman"/>
          <w:b w:val="false"/>
          <w:i w:val="false"/>
          <w:color w:val="000000"/>
          <w:sz w:val="28"/>
        </w:rPr>
        <w:t>
      Окончательное сальдо по суммам обеспечения уплаты таможенных пошлин, налогов переносится из лицевой карточки по учету генерального обеспечения за предыдущий финансовый год в лицевую карточку по учету генерального обеспечения, открываемую в следующем году.</w:t>
      </w:r>
    </w:p>
    <w:bookmarkStart w:name="z49" w:id="35"/>
    <w:p>
      <w:pPr>
        <w:spacing w:after="0"/>
        <w:ind w:left="0"/>
        <w:jc w:val="both"/>
      </w:pPr>
      <w:r>
        <w:rPr>
          <w:rFonts w:ascii="Times New Roman"/>
          <w:b w:val="false"/>
          <w:i w:val="false"/>
          <w:color w:val="000000"/>
          <w:sz w:val="28"/>
        </w:rPr>
        <w:t>
      28. При открытии лицевой карточки по учету генерального обеспечения юридических лиц, в обязательном порядке указываются следующие реквизиты:</w:t>
      </w:r>
    </w:p>
    <w:bookmarkEnd w:id="35"/>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юридический адрес.</w:t>
      </w:r>
    </w:p>
    <w:bookmarkStart w:name="z50" w:id="36"/>
    <w:p>
      <w:pPr>
        <w:spacing w:after="0"/>
        <w:ind w:left="0"/>
        <w:jc w:val="both"/>
      </w:pPr>
      <w:r>
        <w:rPr>
          <w:rFonts w:ascii="Times New Roman"/>
          <w:b w:val="false"/>
          <w:i w:val="false"/>
          <w:color w:val="000000"/>
          <w:sz w:val="28"/>
        </w:rPr>
        <w:t>
      29. В лицевых карточках по учету генерального обеспечения физических лиц (включая индивидуальных предпринимателей), указываются:</w:t>
      </w:r>
    </w:p>
    <w:bookmarkEnd w:id="36"/>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физического лица;</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номер и дата выдачи документа, удостоверяющего личность физического лица, являющегося нерезидентом Республики Казахстан.</w:t>
      </w:r>
    </w:p>
    <w:bookmarkStart w:name="z51" w:id="37"/>
    <w:p>
      <w:pPr>
        <w:spacing w:after="0"/>
        <w:ind w:left="0"/>
        <w:jc w:val="both"/>
      </w:pPr>
      <w:r>
        <w:rPr>
          <w:rFonts w:ascii="Times New Roman"/>
          <w:b w:val="false"/>
          <w:i w:val="false"/>
          <w:color w:val="000000"/>
          <w:sz w:val="28"/>
        </w:rPr>
        <w:t xml:space="preserve">
      30. На основании оформленного ПГО, подразделение органа государственных доходов, оформившее ПГО или уполномоченное должностное лицо и (или) должностные лица, осуществившие совершение таможенных операций, производят оформление Лицевой карточки по учету генерального обеспечения путем заполнения граф 1-10, 15. </w:t>
      </w:r>
    </w:p>
    <w:bookmarkEnd w:id="37"/>
    <w:p>
      <w:pPr>
        <w:spacing w:after="0"/>
        <w:ind w:left="0"/>
        <w:jc w:val="both"/>
      </w:pPr>
      <w:r>
        <w:rPr>
          <w:rFonts w:ascii="Times New Roman"/>
          <w:b w:val="false"/>
          <w:i w:val="false"/>
          <w:color w:val="000000"/>
          <w:sz w:val="28"/>
        </w:rPr>
        <w:t>
      При совершении плательщиком таможенной операции, подразделение органа государственных доходов и (или) органа государственных доходов, в котором осуществляется таможенная операция, производит заполнение граф 11-14 ПГО.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 генерального</w:t>
            </w:r>
            <w:r>
              <w:br/>
            </w:r>
            <w:r>
              <w:rPr>
                <w:rFonts w:ascii="Times New Roman"/>
                <w:b w:val="false"/>
                <w:i w:val="false"/>
                <w:color w:val="000000"/>
                <w:sz w:val="20"/>
              </w:rPr>
              <w:t>обеспечения уплаты таможенных</w:t>
            </w:r>
            <w:r>
              <w:br/>
            </w:r>
            <w:r>
              <w:rPr>
                <w:rFonts w:ascii="Times New Roman"/>
                <w:b w:val="false"/>
                <w:i w:val="false"/>
                <w:color w:val="000000"/>
                <w:sz w:val="20"/>
              </w:rPr>
              <w:t>пошлин, налогов</w:t>
            </w:r>
          </w:p>
        </w:tc>
      </w:tr>
    </w:tbl>
    <w:p>
      <w:pPr>
        <w:spacing w:after="0"/>
        <w:ind w:left="0"/>
        <w:jc w:val="both"/>
      </w:pPr>
      <w:r>
        <w:rPr>
          <w:rFonts w:ascii="Times New Roman"/>
          <w:b w:val="false"/>
          <w:i w:val="false"/>
          <w:color w:val="000000"/>
          <w:sz w:val="28"/>
        </w:rPr>
        <w:t xml:space="preserve">
      Форма      </w:t>
      </w:r>
    </w:p>
    <w:bookmarkStart w:name="z53" w:id="38"/>
    <w:p>
      <w:pPr>
        <w:spacing w:after="0"/>
        <w:ind w:left="0"/>
        <w:jc w:val="left"/>
      </w:pPr>
      <w:r>
        <w:rPr>
          <w:rFonts w:ascii="Times New Roman"/>
          <w:b/>
          <w:i w:val="false"/>
          <w:color w:val="000000"/>
        </w:rPr>
        <w:t xml:space="preserve"> Подтверждение генерального обеспечения уплаты</w:t>
      </w:r>
      <w:r>
        <w:br/>
      </w:r>
      <w:r>
        <w:rPr>
          <w:rFonts w:ascii="Times New Roman"/>
          <w:b/>
          <w:i w:val="false"/>
          <w:color w:val="000000"/>
        </w:rPr>
        <w:t>таможенных пошлин, налогов</w:t>
      </w:r>
    </w:p>
    <w:bookmarkEnd w:id="38"/>
    <w:p>
      <w:pPr>
        <w:spacing w:after="0"/>
        <w:ind w:left="0"/>
        <w:jc w:val="both"/>
      </w:pPr>
      <w:r>
        <w:rPr>
          <w:rFonts w:ascii="Times New Roman"/>
          <w:b w:val="false"/>
          <w:i w:val="false"/>
          <w:color w:val="000000"/>
          <w:sz w:val="28"/>
        </w:rPr>
        <w:t>
      №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или фамилия, имя, отчество</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9"/>
        <w:gridCol w:w="427"/>
        <w:gridCol w:w="902"/>
        <w:gridCol w:w="902"/>
        <w:gridCol w:w="1139"/>
        <w:gridCol w:w="1100"/>
        <w:gridCol w:w="545"/>
        <w:gridCol w:w="546"/>
        <w:gridCol w:w="2208"/>
        <w:gridCol w:w="2287"/>
        <w:gridCol w:w="66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уплаты таможенных пошлин, налогов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пошлин, налогов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генерального обеспечения уплаты таможенных пошлин, налогов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Cрок исполнения обязательства по таможенной операции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таможенной операции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личная номерная печать должностного лица органа государственных доходов, фиксирующего завершение таможенной операции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территориального органа государственных доходов и (или) орган государственных доходов, в котором совершаются таможенные операции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должностного лица органа государственных доходов,</w:t>
      </w:r>
    </w:p>
    <w:p>
      <w:pPr>
        <w:spacing w:after="0"/>
        <w:ind w:left="0"/>
        <w:jc w:val="both"/>
      </w:pPr>
      <w:r>
        <w:rPr>
          <w:rFonts w:ascii="Times New Roman"/>
          <w:b w:val="false"/>
          <w:i w:val="false"/>
          <w:color w:val="000000"/>
          <w:sz w:val="28"/>
        </w:rPr>
        <w:t>
                           выдавшего подтверждение генерального обеспечения)</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и личная номерная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 генерального</w:t>
            </w:r>
            <w:r>
              <w:br/>
            </w:r>
            <w:r>
              <w:rPr>
                <w:rFonts w:ascii="Times New Roman"/>
                <w:b w:val="false"/>
                <w:i w:val="false"/>
                <w:color w:val="000000"/>
                <w:sz w:val="20"/>
              </w:rPr>
              <w:t>обеспечения уплаты таможенных</w:t>
            </w:r>
            <w:r>
              <w:br/>
            </w:r>
            <w:r>
              <w:rPr>
                <w:rFonts w:ascii="Times New Roman"/>
                <w:b w:val="false"/>
                <w:i w:val="false"/>
                <w:color w:val="000000"/>
                <w:sz w:val="20"/>
              </w:rPr>
              <w:t>пошлин, налогов</w:t>
            </w:r>
          </w:p>
        </w:tc>
      </w:tr>
    </w:tbl>
    <w:p>
      <w:pPr>
        <w:spacing w:after="0"/>
        <w:ind w:left="0"/>
        <w:jc w:val="both"/>
      </w:pPr>
      <w:r>
        <w:rPr>
          <w:rFonts w:ascii="Times New Roman"/>
          <w:b w:val="false"/>
          <w:i w:val="false"/>
          <w:color w:val="000000"/>
          <w:sz w:val="28"/>
        </w:rPr>
        <w:t xml:space="preserve">
      Форма      </w:t>
      </w:r>
    </w:p>
    <w:bookmarkStart w:name="z55" w:id="39"/>
    <w:p>
      <w:pPr>
        <w:spacing w:after="0"/>
        <w:ind w:left="0"/>
        <w:jc w:val="left"/>
      </w:pPr>
      <w:r>
        <w:rPr>
          <w:rFonts w:ascii="Times New Roman"/>
          <w:b/>
          <w:i w:val="false"/>
          <w:color w:val="000000"/>
        </w:rPr>
        <w:t xml:space="preserve"> Дополнение к подтверждению генерального обеспечения уплаты</w:t>
      </w:r>
      <w:r>
        <w:br/>
      </w:r>
      <w:r>
        <w:rPr>
          <w:rFonts w:ascii="Times New Roman"/>
          <w:b/>
          <w:i w:val="false"/>
          <w:color w:val="000000"/>
        </w:rPr>
        <w:t>таможенных пошлин, налогов</w:t>
      </w:r>
    </w:p>
    <w:bookmarkEnd w:id="39"/>
    <w:p>
      <w:pPr>
        <w:spacing w:after="0"/>
        <w:ind w:left="0"/>
        <w:jc w:val="both"/>
      </w:pPr>
      <w:r>
        <w:rPr>
          <w:rFonts w:ascii="Times New Roman"/>
          <w:b w:val="false"/>
          <w:i w:val="false"/>
          <w:color w:val="000000"/>
          <w:sz w:val="28"/>
        </w:rPr>
        <w:t>
      №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или фамилия, имя, отчество</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9"/>
        <w:gridCol w:w="427"/>
        <w:gridCol w:w="902"/>
        <w:gridCol w:w="902"/>
        <w:gridCol w:w="1139"/>
        <w:gridCol w:w="1100"/>
        <w:gridCol w:w="545"/>
        <w:gridCol w:w="546"/>
        <w:gridCol w:w="2208"/>
        <w:gridCol w:w="2287"/>
        <w:gridCol w:w="66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уплаты таможенных пошлин, налогов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пошлин, налогов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генерального обеспечения уплаты таможенных пошлин, налогов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Cрок исполнения обязательства по таможенной операции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таможенной операции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личная номерная печать должностного лица органа государственных доходов, фиксирующего завершение таможенной операции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территориального органа государственных доходов и (или) орган государственных доходов, в котором совершаются таможенные операции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должностного лица органа государственных доходов,</w:t>
      </w:r>
    </w:p>
    <w:p>
      <w:pPr>
        <w:spacing w:after="0"/>
        <w:ind w:left="0"/>
        <w:jc w:val="both"/>
      </w:pPr>
      <w:r>
        <w:rPr>
          <w:rFonts w:ascii="Times New Roman"/>
          <w:b w:val="false"/>
          <w:i w:val="false"/>
          <w:color w:val="000000"/>
          <w:sz w:val="28"/>
        </w:rPr>
        <w:t xml:space="preserve">
                          выдавшего подтверждение генерального обеспечения)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и личная номерная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 генерального</w:t>
            </w:r>
            <w:r>
              <w:br/>
            </w:r>
            <w:r>
              <w:rPr>
                <w:rFonts w:ascii="Times New Roman"/>
                <w:b w:val="false"/>
                <w:i w:val="false"/>
                <w:color w:val="000000"/>
                <w:sz w:val="20"/>
              </w:rPr>
              <w:t>обеспечения уплаты таможенных</w:t>
            </w:r>
            <w:r>
              <w:br/>
            </w:r>
            <w:r>
              <w:rPr>
                <w:rFonts w:ascii="Times New Roman"/>
                <w:b w:val="false"/>
                <w:i w:val="false"/>
                <w:color w:val="000000"/>
                <w:sz w:val="20"/>
              </w:rPr>
              <w:t>пошлин, налогов</w:t>
            </w:r>
          </w:p>
        </w:tc>
      </w:tr>
    </w:tbl>
    <w:p>
      <w:pPr>
        <w:spacing w:after="0"/>
        <w:ind w:left="0"/>
        <w:jc w:val="both"/>
      </w:pPr>
      <w:r>
        <w:rPr>
          <w:rFonts w:ascii="Times New Roman"/>
          <w:b w:val="false"/>
          <w:i w:val="false"/>
          <w:color w:val="000000"/>
          <w:sz w:val="28"/>
        </w:rPr>
        <w:t xml:space="preserve">
      Форма      </w:t>
      </w:r>
    </w:p>
    <w:bookmarkStart w:name="z57" w:id="40"/>
    <w:p>
      <w:pPr>
        <w:spacing w:after="0"/>
        <w:ind w:left="0"/>
        <w:jc w:val="left"/>
      </w:pPr>
      <w:r>
        <w:rPr>
          <w:rFonts w:ascii="Times New Roman"/>
          <w:b/>
          <w:i w:val="false"/>
          <w:color w:val="000000"/>
        </w:rPr>
        <w:t xml:space="preserve"> Реестр подтверждений генерального обеспечения уплаты</w:t>
      </w:r>
      <w:r>
        <w:br/>
      </w:r>
      <w:r>
        <w:rPr>
          <w:rFonts w:ascii="Times New Roman"/>
          <w:b/>
          <w:i w:val="false"/>
          <w:color w:val="000000"/>
        </w:rPr>
        <w:t>таможенных пошлин, налогов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237"/>
        <w:gridCol w:w="1120"/>
        <w:gridCol w:w="1353"/>
        <w:gridCol w:w="822"/>
        <w:gridCol w:w="419"/>
        <w:gridCol w:w="887"/>
        <w:gridCol w:w="887"/>
        <w:gridCol w:w="2131"/>
        <w:gridCol w:w="1237"/>
        <w:gridCol w:w="1121"/>
        <w:gridCol w:w="653"/>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подтверждений генерального обеспечения уплаты таможенных пошлин, налогов</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карточек обеспечения уплаты таможенных пошлин,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плательщика</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пошлин, налогов</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 обеспечения уплаты таможенных пошлин, налогов (банк, поручитель, залогодатель, страховая организация)</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пошлин, налогов, выбранный поручителем</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генерального обеспечения уплаты таможенных пошлин, налогов</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физического лица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 генерального</w:t>
            </w:r>
            <w:r>
              <w:br/>
            </w:r>
            <w:r>
              <w:rPr>
                <w:rFonts w:ascii="Times New Roman"/>
                <w:b w:val="false"/>
                <w:i w:val="false"/>
                <w:color w:val="000000"/>
                <w:sz w:val="20"/>
              </w:rPr>
              <w:t>обеспечения уплаты таможенных</w:t>
            </w:r>
            <w:r>
              <w:br/>
            </w:r>
            <w:r>
              <w:rPr>
                <w:rFonts w:ascii="Times New Roman"/>
                <w:b w:val="false"/>
                <w:i w:val="false"/>
                <w:color w:val="000000"/>
                <w:sz w:val="20"/>
              </w:rPr>
              <w:t>пошлин, налогов</w:t>
            </w:r>
          </w:p>
        </w:tc>
      </w:tr>
    </w:tbl>
    <w:p>
      <w:pPr>
        <w:spacing w:after="0"/>
        <w:ind w:left="0"/>
        <w:jc w:val="both"/>
      </w:pPr>
      <w:r>
        <w:rPr>
          <w:rFonts w:ascii="Times New Roman"/>
          <w:b w:val="false"/>
          <w:i w:val="false"/>
          <w:color w:val="000000"/>
          <w:sz w:val="28"/>
        </w:rPr>
        <w:t xml:space="preserve">
      Форма      </w:t>
      </w:r>
    </w:p>
    <w:bookmarkStart w:name="z59" w:id="41"/>
    <w:p>
      <w:pPr>
        <w:spacing w:after="0"/>
        <w:ind w:left="0"/>
        <w:jc w:val="left"/>
      </w:pPr>
      <w:r>
        <w:rPr>
          <w:rFonts w:ascii="Times New Roman"/>
          <w:b/>
          <w:i w:val="false"/>
          <w:color w:val="000000"/>
        </w:rPr>
        <w:t xml:space="preserve"> Лицевая карточка по учету генерального обеспечения уплаты</w:t>
      </w:r>
      <w:r>
        <w:br/>
      </w:r>
      <w:r>
        <w:rPr>
          <w:rFonts w:ascii="Times New Roman"/>
          <w:b/>
          <w:i w:val="false"/>
          <w:color w:val="000000"/>
        </w:rPr>
        <w:t>таможенных пошлин, налогов</w:t>
      </w:r>
    </w:p>
    <w:bookmarkEnd w:id="41"/>
    <w:p>
      <w:pPr>
        <w:spacing w:after="0"/>
        <w:ind w:left="0"/>
        <w:jc w:val="both"/>
      </w:pPr>
      <w:r>
        <w:rPr>
          <w:rFonts w:ascii="Times New Roman"/>
          <w:b w:val="false"/>
          <w:i w:val="false"/>
          <w:color w:val="000000"/>
          <w:sz w:val="28"/>
        </w:rPr>
        <w:t>
      Наименование плательщика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номер _________________________________________________________</w:t>
      </w:r>
    </w:p>
    <w:p>
      <w:pPr>
        <w:spacing w:after="0"/>
        <w:ind w:left="0"/>
        <w:jc w:val="both"/>
      </w:pPr>
      <w:r>
        <w:rPr>
          <w:rFonts w:ascii="Times New Roman"/>
          <w:b w:val="false"/>
          <w:i w:val="false"/>
          <w:color w:val="000000"/>
          <w:sz w:val="28"/>
        </w:rPr>
        <w:t>
      Номер и дата выдачи паспорта нерезидента Республики Казахстан</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524"/>
        <w:gridCol w:w="1208"/>
        <w:gridCol w:w="1094"/>
        <w:gridCol w:w="410"/>
        <w:gridCol w:w="866"/>
        <w:gridCol w:w="410"/>
        <w:gridCol w:w="410"/>
        <w:gridCol w:w="410"/>
        <w:gridCol w:w="1208"/>
        <w:gridCol w:w="1094"/>
        <w:gridCol w:w="1057"/>
        <w:gridCol w:w="636"/>
        <w:gridCol w:w="637"/>
        <w:gridCol w:w="638"/>
        <w:gridCol w:w="637"/>
        <w:gridCol w:w="638"/>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операции</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подтверждений генерального обеспечения уплаты таможенных пошлин, налогов</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уплаты таможенных пошлин, налогов</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таможенной операции</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пошлин, налогов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внесение обеспечения уплаты таможенных пошлин, налогов</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таможенных пошлин, налогов по таможенной операции</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заблокированная на период совершения таможенной операции</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Cрок исполнения обязательства по таможенной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Разблокированная сумма обеспечения</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исполнение обязательства</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операции</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возврата плательщику</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перечисления в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