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a281d" w14:textId="5ca28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перевозки почтовых отправлений внутренним водным транспортом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коммуникаций Республики Казахстан от 26 сентября 2016 года № 172. Зарегистрирован Министерством юстиции Республики Казахстан 28 октября 2016 года № 14376.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 Закона Республики Казахстан от 6 июля 2004 года "О внутреннем водном транспорте",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почтовых отправлений внутренним водным транспортом.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информатизации и связи от 28 февраля 2005 года № 57-п "Об утверждении Правил перевозки почтовых отправлений внутренним водным транспортом" (зарегистрирован в Реестре государственной регистрации нормативных правовых актов за № 3557).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Департаменту связи Министерства информации и коммуникаций Республики Казахстан (Ярошенко В.В.) обеспечить: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направление копии настоящего приказа на официальное опубликование в периодические печатные издания и информационно-правовую систему "Әділет" в течение десяти календарных дней после дня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направление копии настоящего приказа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 в течение десяти календарных дней со дня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размещение настоящего приказа на интернет-ресурсе Министерства информации и коммуникаций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информации и коммуникаций Республики Казахстан сведений об исполнении мероприятий, предусмотренных подпунктами 1), 2) и 3) настоящего пункта.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Контроль за исполнением настоящего приказа возложить на курирующего вице-министра информации и коммуникаций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и коммуникаций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 Ж. Касымбек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"____"___________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2016 года № 172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перевозки почтовых отправлений</w:t>
      </w:r>
      <w:r>
        <w:br/>
      </w:r>
      <w:r>
        <w:rPr>
          <w:rFonts w:ascii="Times New Roman"/>
          <w:b/>
          <w:i w:val="false"/>
          <w:color w:val="000000"/>
        </w:rPr>
        <w:t>внутренним водным транспортом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Настоящие Правила перевозки почтовых отправлений внутренним водным транспортом (далее - Правила) разработаны в соответствии с законами Республики Казахстан от 6 июля 2004 года "</w:t>
      </w:r>
      <w:r>
        <w:rPr>
          <w:rFonts w:ascii="Times New Roman"/>
          <w:b w:val="false"/>
          <w:i w:val="false"/>
          <w:color w:val="000000"/>
          <w:sz w:val="28"/>
        </w:rPr>
        <w:t>О внутреннем водном транспорте</w:t>
      </w:r>
      <w:r>
        <w:rPr>
          <w:rFonts w:ascii="Times New Roman"/>
          <w:b w:val="false"/>
          <w:i w:val="false"/>
          <w:color w:val="000000"/>
          <w:sz w:val="28"/>
        </w:rPr>
        <w:t>" и от 9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почте</w:t>
      </w:r>
      <w:r>
        <w:rPr>
          <w:rFonts w:ascii="Times New Roman"/>
          <w:b w:val="false"/>
          <w:i w:val="false"/>
          <w:color w:val="000000"/>
          <w:sz w:val="28"/>
        </w:rPr>
        <w:t>" (далее – Закон о почте) и определяют порядок перевозки почтовых отправлений внутренним водным транспортом в Республике Казахстан (далее - водный транспорт).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В настоящих Правилах используются следующие основные понятия: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почтовые отправления – письменная корреспонденция, посылки, принятые к пересылке оператором почты;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оператор почты – зарегистрированное на территории Республики Казахстан физическое или юридическое лицо, предоставляющее </w:t>
      </w:r>
      <w:r>
        <w:rPr>
          <w:rFonts w:ascii="Times New Roman"/>
          <w:b w:val="false"/>
          <w:i w:val="false"/>
          <w:color w:val="000000"/>
          <w:sz w:val="28"/>
        </w:rPr>
        <w:t>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почтовой деятельности;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перевозчик – лицо, владеющее на праве собственности или иных законных основаниях судном, предоставляющее услуги по перевозке пассажиров, багажа и грузов и указанное в перевозочных документах.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Оператор почты составляет расписание перевозок почтовых отправлений водным транспортом на основании расписания движения судов перевозчика.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Оплата за перевозку почтовых отправлений производится на основании договора, заключаемого между перевозчиком и оператором почты.</w:t>
      </w:r>
    </w:p>
    <w:bookmarkEnd w:id="13"/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перевозки почтовых отправлений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Почтовые отправления передаются оператором почты перевозчику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услуг почтовой связи, утверждаемыми уполномоченным органом в области почты в соответствии с подпунктом 16)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почте (далее – Правила предоставления).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Для каждого пункта назначения на почтовые отправления составляются отдельные маршрутные накладные в двух экземплярах, по форме,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Один экземпляр направляется с почтовыми отправлениями, второй экземпляр остается у оператора почты.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Все почтовые отправления записываются в порядке очередности обменов в маршрутную накладную в двух экземплярах на каждый рейс.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Перевозчик проверяет общую массу почтовых отправлений на соответствие с маршрутными накладными.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В пунктах, где имеется причал без складских помещений для хранения, почтовые отправления доставляются оператором почты непосредственно к водному транспорту.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Сдача и прием почтовых отправлений осуществляется оператором почты, согласно расписанию движения водного транспорта перевозчика.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Почтовые отправления считаются доставленными перевозчику с момента подписания маршрутных </w:t>
      </w:r>
      <w:r>
        <w:rPr>
          <w:rFonts w:ascii="Times New Roman"/>
          <w:b w:val="false"/>
          <w:i w:val="false"/>
          <w:color w:val="000000"/>
          <w:sz w:val="28"/>
        </w:rPr>
        <w:t>накладных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представителями перевозчика и оператора почты.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В случае задержки рейса по вине перевозчика, почтовые отправления перегружаются перевозчиком с одного водного транспорта на другой, либо направляются в пункт назначения иным видом транспорта за счет перевозчика.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Перевозчик принимает к перевозке почтовые отправления в количестве и массе, допустимой к перевозке водным транспортом с учетом норм загрузки, предусмотренными техническими характеристиками водного транспорта. 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 Нарушения со стороны перевозчика либо оператора почты, которые в дальнейшем послужат основанием для имущественной ответственности вышеуказанных лиц, удостоверяются актом общей формы о нарушениях (далее - акт),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15.  Акт составляется в случаях: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отмены или задержки отправки водного транспорта из пункта отправления, прекращения начатого рейса, длительной задержки и вынужденной остановки в пути;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обнаружения недостачи или повреждения почтовых отправлений по вине перевозчика.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Примечание. При этом подробно характеризуется наружное состояние почтового отправления, указывается масса по документам и фактическая, при нарушении оболочки - внутреннее содержание (раздельно перечисляется каждое почтовое отправление, его состояние, размер, масса, а также общая масса вложения почтового отправления, масса тары, объявленная ценность);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превышения фактической массы перевозимых почтовых отправлений, от массы, указанной в сопроводительных документах.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Примечание. В этом случае акт служит основанием для расчета за фактически отправленные почтовые отправления.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16. Акт составляется в двух экземплярах, которые имеют равную силу – для оператора почты и перевозчика. 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17. В акте отражаются все известные на момент составления акта сведения, позволяющие сделать правильное заключение о причине нарушения договора, а также с указанием решения по нему.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Акт подписывается представителями оператора почты и перевозчика.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Стороны, участвующие в составлении акта, отказываются от его подписания, при несогласии с содержанием акта.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этом случае, сторона отказавшаяся подписать акт излагает в нем свое мотивированное обоснование.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18. Акт утверждается руководителями оператора почты и перевозчика и заверяется печатями оператора почты и перевозчика. 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19. Руководитель оператора почты или перевозчика, отказавшийся утвердить акт, в течение пяти рабочих дней со дня составления акта передает другой стороне письменное возражение.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подписании акта с оговоркой, руководители оператора почты и перевозчика рассматривают возникшие разногласия и в течение пяти рабочих дней принимают по ним решение.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20. Доставка и вручение адресату почтовых отправлений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предоставления. 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перевозки почтовых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отправлений внутренним 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транспортом</w:t>
            </w:r>
          </w:p>
        </w:tc>
      </w:tr>
    </w:tbl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Маршрутная накладная №___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"____" 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(для сдачи и приема почтовых отправлений)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Время сдачи и приема почтовых отправлений:___________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6"/>
        <w:gridCol w:w="5501"/>
        <w:gridCol w:w="2605"/>
        <w:gridCol w:w="1881"/>
        <w:gridCol w:w="1157"/>
      </w:tblGrid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отправки, стоянок и прибытия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почтовых отправлений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 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80"/>
        <w:gridCol w:w="6020"/>
      </w:tblGrid>
      <w:tr>
        <w:trPr>
          <w:trHeight w:val="30" w:hRule="atLeast"/>
        </w:trPr>
        <w:tc>
          <w:tcPr>
            <w:tcW w:w="6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 перевозчика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______________________(подпись)</w:t>
            </w:r>
          </w:p>
        </w:tc>
        <w:tc>
          <w:tcPr>
            <w:tcW w:w="6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 оператора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_____________________(подпись)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перевозки почтовых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отправлений внутренним 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транспортом</w:t>
            </w:r>
          </w:p>
        </w:tc>
      </w:tr>
    </w:tbl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 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(перевозчика)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"___"___________  20__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место для печати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    (при наличии печати)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(оператора почты)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"___"___________  20__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  место для печати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         (при наличии печати)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Акт общей формы №____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 нарушениях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   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(дата)                      (наименование порта)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Настоящий акт составлен оператором почты ____________________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перевозчиком ____________________________ о том, что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 года со стороны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допущено нарушение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почтовых отправлений внутренним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водным транспортом, других законодательных актов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 условий договора на перевозку почтовых отправлений водным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транспортом, выразившееся в следующем: (указать характер нарушения,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водного транспорта, № рейса, дату нарушения, при этом описывается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факт предполагаемого нарушения и решение по нему).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Акт составлен для расследования, принятия мер по устранению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нарушений.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80"/>
        <w:gridCol w:w="6020"/>
      </w:tblGrid>
      <w:tr>
        <w:trPr>
          <w:trHeight w:val="30" w:hRule="atLeast"/>
        </w:trPr>
        <w:tc>
          <w:tcPr>
            <w:tcW w:w="6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 перевозчика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______________________(подпись) </w:t>
            </w:r>
          </w:p>
        </w:tc>
        <w:tc>
          <w:tcPr>
            <w:tcW w:w="6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 оператора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_____________________(подпись)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