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b76a" w14:textId="15eb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2015 года № 115 "Об утверждении форм документов для выдачи разрешений на эмиссии в окружающую среду и правил их заполнения"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августа 2016 года № 394. Зарегистрирован в Министерстве юстиции Республики Казахстан 3 ноября 2016 года № 14391. Утратил силу приказом и.о. Министра экологии, геологии и природных ресурсов Республики Казахстан от 9 августа 2021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115 "Об утверждении форм документов для выдачи разрешений на эмиссии в окружающую среду и правил их заполнения" (зарегистрированный в Реестре государственной регистрации нормативных правовых актов за № 10903, опубликованный 4 июня 2015 года в газете "Казахстанская правда" № 103 (27979))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разрешения на эмиссии в окружающую среду для объектов I, II, и III категорий,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Выполнять согласованный план мероприятий по охране окружающей среды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в соответствии с приказом Министра энергетики Республики Казахстан от 17 июня 2016 года № 252 "Об утверждении Форм плана мероприятий по охране окружающей среды и отчета о выполнении данного плана" (зарегистрированный в Реестре государственной регистрации нормативных правовых актов № 13984) на период действия настоящего Разрешения для объектов I, II, и III категорий, а также мероприятия по снижению эмиссий в окружающую среду, установленные проектной документацией, предусмотренные положительным заключением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для объектов I, II и III категорий с ___года по ___ года.";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"*Лимиты эмиссий, установленные в настоящем Разрешении для объектов I, II и III категорий, по валовым объемам эмиссий и ингредиентам (веществам) действуют на период настоящего Разрешения для объектов I, II и III категорий и рассчитываются по формуле,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заполнения форм документов для выдачи разрешений на эмиссии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для объектов I, II и III категорий действительно до изменения применяемых технологий и условий природопользования, указанных в настоящем Разрешении.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 для объектов I, II и III категорий и план мероприятий по охране окружающей среды являются неотъемлемой частью настоящего Разрешения для объектов I, II и III категорий.";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 документов для выдачи разрешений на эмиссии в окружающую среду,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"Јділет"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