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b5e6" w14:textId="a32b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статистике информационно-коммуникационных технологий</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октября 2016 года № 246. Зарегистрирован в Министерстве юстиции Республики Казахстан 23 ноября 2016 года № 14447.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статистике информационно-коммуникационных технологий.</w:t>
      </w:r>
    </w:p>
    <w:bookmarkEnd w:id="1"/>
    <w:bookmarkStart w:name="z3" w:id="2"/>
    <w:p>
      <w:pPr>
        <w:spacing w:after="0"/>
        <w:ind w:left="0"/>
        <w:jc w:val="both"/>
      </w:pPr>
      <w:r>
        <w:rPr>
          <w:rFonts w:ascii="Times New Roman"/>
          <w:b w:val="false"/>
          <w:i w:val="false"/>
          <w:color w:val="000000"/>
          <w:sz w:val="28"/>
        </w:rPr>
        <w:t>
      2.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государственной регистрации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октября 2016 года № 246</w:t>
            </w:r>
          </w:p>
        </w:tc>
      </w:tr>
    </w:tbl>
    <w:bookmarkStart w:name="z8" w:id="6"/>
    <w:p>
      <w:pPr>
        <w:spacing w:after="0"/>
        <w:ind w:left="0"/>
        <w:jc w:val="left"/>
      </w:pPr>
      <w:r>
        <w:rPr>
          <w:rFonts w:ascii="Times New Roman"/>
          <w:b/>
          <w:i w:val="false"/>
          <w:color w:val="000000"/>
        </w:rPr>
        <w:t xml:space="preserve"> Методика по статистике информационно-коммуникационных</w:t>
      </w:r>
      <w:r>
        <w:br/>
      </w:r>
      <w:r>
        <w:rPr>
          <w:rFonts w:ascii="Times New Roman"/>
          <w:b/>
          <w:i w:val="false"/>
          <w:color w:val="000000"/>
        </w:rPr>
        <w:t>технологий</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Методика по статистике информационно-коммуникационных технологий (далее - Методика) относится к статистической методологии, формируемой в соответствии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Целью Методики является разработка единых подходов по формированию статистических показателей по статистике использования информационно-коммуникационных технологий (далее – ИКТ) и связи, обеспечению согласованности и сопоставимости государственной статистики с общепринятыми международными стандартами, классификациями и методами.</w:t>
      </w:r>
    </w:p>
    <w:bookmarkEnd w:id="8"/>
    <w:bookmarkStart w:name="z12" w:id="9"/>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для формирования показателей по статистике ИКТ и связи.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В Методике используются следующие определения:</w:t>
      </w:r>
    </w:p>
    <w:bookmarkEnd w:id="10"/>
    <w:bookmarkStart w:name="z87" w:id="11"/>
    <w:p>
      <w:pPr>
        <w:spacing w:after="0"/>
        <w:ind w:left="0"/>
        <w:jc w:val="both"/>
      </w:pPr>
      <w:r>
        <w:rPr>
          <w:rFonts w:ascii="Times New Roman"/>
          <w:b w:val="false"/>
          <w:i w:val="false"/>
          <w:color w:val="000000"/>
          <w:sz w:val="28"/>
        </w:rPr>
        <w:t xml:space="preserve">
      1) объем услуг связи – начисленные средства за оказанные услуги связи населению, предприятиям и организациям, независимо от срока оплаты; </w:t>
      </w:r>
    </w:p>
    <w:bookmarkEnd w:id="11"/>
    <w:bookmarkStart w:name="z88" w:id="12"/>
    <w:p>
      <w:pPr>
        <w:spacing w:after="0"/>
        <w:ind w:left="0"/>
        <w:jc w:val="both"/>
      </w:pPr>
      <w:r>
        <w:rPr>
          <w:rFonts w:ascii="Times New Roman"/>
          <w:b w:val="false"/>
          <w:i w:val="false"/>
          <w:color w:val="000000"/>
          <w:sz w:val="28"/>
        </w:rPr>
        <w:t>
      2) услуги курьерской почты – услуги почтовой связи по перевозке и вручению почтовых отправлений, оказываемые с использованием курьера;</w:t>
      </w:r>
    </w:p>
    <w:bookmarkEnd w:id="12"/>
    <w:bookmarkStart w:name="z89" w:id="13"/>
    <w:p>
      <w:pPr>
        <w:spacing w:after="0"/>
        <w:ind w:left="0"/>
        <w:jc w:val="both"/>
      </w:pPr>
      <w:r>
        <w:rPr>
          <w:rFonts w:ascii="Times New Roman"/>
          <w:b w:val="false"/>
          <w:i w:val="false"/>
          <w:color w:val="000000"/>
          <w:sz w:val="28"/>
        </w:rPr>
        <w:t>
      3) электронная торговля – метод приобретения или продажи товаров, работ и услуг через сеть Интернет.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Глава 2. Особенности проведения статистических наблюдений по</w:t>
      </w:r>
      <w:r>
        <w:br/>
      </w:r>
      <w:r>
        <w:rPr>
          <w:rFonts w:ascii="Times New Roman"/>
          <w:b/>
          <w:i w:val="false"/>
          <w:color w:val="000000"/>
        </w:rPr>
        <w:t>статистике ИКТ</w:t>
      </w:r>
      <w:r>
        <w:br/>
      </w:r>
      <w:r>
        <w:rPr>
          <w:rFonts w:ascii="Times New Roman"/>
          <w:b/>
          <w:i w:val="false"/>
          <w:color w:val="000000"/>
        </w:rPr>
        <w:t>Параграф 1. Обследование по использованию ИКТ организациями</w:t>
      </w:r>
    </w:p>
    <w:bookmarkEnd w:id="14"/>
    <w:bookmarkStart w:name="z20" w:id="15"/>
    <w:p>
      <w:pPr>
        <w:spacing w:after="0"/>
        <w:ind w:left="0"/>
        <w:jc w:val="both"/>
      </w:pPr>
      <w:r>
        <w:rPr>
          <w:rFonts w:ascii="Times New Roman"/>
          <w:b w:val="false"/>
          <w:i w:val="false"/>
          <w:color w:val="000000"/>
          <w:sz w:val="28"/>
        </w:rPr>
        <w:t>
      5. Основной целью статистического наблюдения является определение уровня использования ИКТ в организациях Республики Казахстан.</w:t>
      </w:r>
    </w:p>
    <w:bookmarkEnd w:id="15"/>
    <w:bookmarkStart w:name="z21" w:id="16"/>
    <w:p>
      <w:pPr>
        <w:spacing w:after="0"/>
        <w:ind w:left="0"/>
        <w:jc w:val="both"/>
      </w:pPr>
      <w:r>
        <w:rPr>
          <w:rFonts w:ascii="Times New Roman"/>
          <w:b w:val="false"/>
          <w:i w:val="false"/>
          <w:color w:val="000000"/>
          <w:sz w:val="28"/>
        </w:rPr>
        <w:t>
      6. Обследование организаций, использующих ИКТ, проводится на годовой основе выборочным методом.</w:t>
      </w:r>
    </w:p>
    <w:bookmarkEnd w:id="16"/>
    <w:bookmarkStart w:name="z22" w:id="17"/>
    <w:p>
      <w:pPr>
        <w:spacing w:after="0"/>
        <w:ind w:left="0"/>
        <w:jc w:val="both"/>
      </w:pPr>
      <w:r>
        <w:rPr>
          <w:rFonts w:ascii="Times New Roman"/>
          <w:b w:val="false"/>
          <w:i w:val="false"/>
          <w:color w:val="000000"/>
          <w:sz w:val="28"/>
        </w:rPr>
        <w:t>
      7. Объектами статистического наблюдения об использовании ИКТ в организациях являются юридические лица, их обособленные подразделения, зарегистрированные в установленном законодательном порядке.</w:t>
      </w:r>
    </w:p>
    <w:bookmarkEnd w:id="17"/>
    <w:bookmarkStart w:name="z23" w:id="18"/>
    <w:p>
      <w:pPr>
        <w:spacing w:after="0"/>
        <w:ind w:left="0"/>
        <w:jc w:val="both"/>
      </w:pPr>
      <w:r>
        <w:rPr>
          <w:rFonts w:ascii="Times New Roman"/>
          <w:b w:val="false"/>
          <w:i w:val="false"/>
          <w:color w:val="000000"/>
          <w:sz w:val="28"/>
        </w:rPr>
        <w:t xml:space="preserve">
      8. Инструментом статистического учета является Статистический бизнес регистр (далее – СБР), содержащий полный перечень юридических лиц с необходимыми классификационными и адресными данными.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Параграф 2. Обследование по использованию ИКТ домашними</w:t>
      </w:r>
      <w:r>
        <w:br/>
      </w:r>
      <w:r>
        <w:rPr>
          <w:rFonts w:ascii="Times New Roman"/>
          <w:b/>
          <w:i w:val="false"/>
          <w:color w:val="000000"/>
        </w:rPr>
        <w:t>хозяйствами</w:t>
      </w:r>
    </w:p>
    <w:bookmarkEnd w:id="19"/>
    <w:bookmarkStart w:name="z25" w:id="20"/>
    <w:p>
      <w:pPr>
        <w:spacing w:after="0"/>
        <w:ind w:left="0"/>
        <w:jc w:val="both"/>
      </w:pPr>
      <w:r>
        <w:rPr>
          <w:rFonts w:ascii="Times New Roman"/>
          <w:b w:val="false"/>
          <w:i w:val="false"/>
          <w:color w:val="000000"/>
          <w:sz w:val="28"/>
        </w:rPr>
        <w:t>
      9. Обследование населения по использованию ИКТ являются важным источником статистических данных по ИКТ. Данные полученные на основе обследования населения требуются для мониторинга национальных и международных целей и задач в области развития ИКТ.</w:t>
      </w:r>
    </w:p>
    <w:bookmarkEnd w:id="20"/>
    <w:bookmarkStart w:name="z26" w:id="21"/>
    <w:p>
      <w:pPr>
        <w:spacing w:after="0"/>
        <w:ind w:left="0"/>
        <w:jc w:val="both"/>
      </w:pPr>
      <w:r>
        <w:rPr>
          <w:rFonts w:ascii="Times New Roman"/>
          <w:b w:val="false"/>
          <w:i w:val="false"/>
          <w:color w:val="000000"/>
          <w:sz w:val="28"/>
        </w:rPr>
        <w:t>
      10. Одним из основных направлений обследования населения по использованию ИКТ является обследование домашних хозяйств и членов домашнего хозяйства годовой периодичности.</w:t>
      </w:r>
    </w:p>
    <w:bookmarkEnd w:id="21"/>
    <w:bookmarkStart w:name="z27" w:id="22"/>
    <w:p>
      <w:pPr>
        <w:spacing w:after="0"/>
        <w:ind w:left="0"/>
        <w:jc w:val="both"/>
      </w:pPr>
      <w:r>
        <w:rPr>
          <w:rFonts w:ascii="Times New Roman"/>
          <w:b w:val="false"/>
          <w:i w:val="false"/>
          <w:color w:val="000000"/>
          <w:sz w:val="28"/>
        </w:rPr>
        <w:t>
      11. Большинство вопросов в вопроснике относятся к последним трем месяцам, предшествующих интервью. Более долгий отчетный период используется только для вопросов, связанных с электронной торговлей, где важный сезонный эффект ожидаем в структуре потребления в течение года (больше покупок совершено на праздники, больше случаев бронирования на праздники в летнее время).</w:t>
      </w:r>
    </w:p>
    <w:bookmarkEnd w:id="22"/>
    <w:bookmarkStart w:name="z28" w:id="23"/>
    <w:p>
      <w:pPr>
        <w:spacing w:after="0"/>
        <w:ind w:left="0"/>
        <w:jc w:val="both"/>
      </w:pPr>
      <w:r>
        <w:rPr>
          <w:rFonts w:ascii="Times New Roman"/>
          <w:b w:val="false"/>
          <w:i w:val="false"/>
          <w:color w:val="000000"/>
          <w:sz w:val="28"/>
        </w:rPr>
        <w:t>
      12. В обследовании по использованию ИКТ домашними хозяйствами объектом наблюдения является домашнее хозяйство – по показателям доступа к ИКТ и члены домашнего хозяйства в возрасте от 6 лет и старше – по использованию ИКТ. Домашнее хозяйство как единица обследования используется тогда, когда собирается информация о доступе к различным электронным устройствам, о типе подключения к сети Интернет и о барьерах использования Интернета. Отдельные лица как единица обследования используются при сборе информации об использовании компьютеров, использовании Интернета и электронной торговли.</w:t>
      </w:r>
    </w:p>
    <w:bookmarkEnd w:id="23"/>
    <w:bookmarkStart w:name="z29" w:id="24"/>
    <w:p>
      <w:pPr>
        <w:spacing w:after="0"/>
        <w:ind w:left="0"/>
        <w:jc w:val="both"/>
      </w:pPr>
      <w:r>
        <w:rPr>
          <w:rFonts w:ascii="Times New Roman"/>
          <w:b w:val="false"/>
          <w:i w:val="false"/>
          <w:color w:val="000000"/>
          <w:sz w:val="28"/>
        </w:rPr>
        <w:t>
      13. Существует три варианта интервьюирования членов домашнего хозяйства:</w:t>
      </w:r>
    </w:p>
    <w:bookmarkEnd w:id="24"/>
    <w:bookmarkStart w:name="z30" w:id="25"/>
    <w:p>
      <w:pPr>
        <w:spacing w:after="0"/>
        <w:ind w:left="0"/>
        <w:jc w:val="both"/>
      </w:pPr>
      <w:r>
        <w:rPr>
          <w:rFonts w:ascii="Times New Roman"/>
          <w:b w:val="false"/>
          <w:i w:val="false"/>
          <w:color w:val="000000"/>
          <w:sz w:val="28"/>
        </w:rPr>
        <w:t>
      1) опрос каждого члена домашнего хозяйства для заполнения индивидуального вопросника;</w:t>
      </w:r>
    </w:p>
    <w:bookmarkEnd w:id="25"/>
    <w:bookmarkStart w:name="z31" w:id="26"/>
    <w:p>
      <w:pPr>
        <w:spacing w:after="0"/>
        <w:ind w:left="0"/>
        <w:jc w:val="both"/>
      </w:pPr>
      <w:r>
        <w:rPr>
          <w:rFonts w:ascii="Times New Roman"/>
          <w:b w:val="false"/>
          <w:i w:val="false"/>
          <w:color w:val="000000"/>
          <w:sz w:val="28"/>
        </w:rPr>
        <w:t>
      2) опрос главы домашнего хозяйства по вопросам о каждом члене домашнего хозяйства;</w:t>
      </w:r>
    </w:p>
    <w:bookmarkEnd w:id="26"/>
    <w:bookmarkStart w:name="z32" w:id="27"/>
    <w:p>
      <w:pPr>
        <w:spacing w:after="0"/>
        <w:ind w:left="0"/>
        <w:jc w:val="both"/>
      </w:pPr>
      <w:r>
        <w:rPr>
          <w:rFonts w:ascii="Times New Roman"/>
          <w:b w:val="false"/>
          <w:i w:val="false"/>
          <w:color w:val="000000"/>
          <w:sz w:val="28"/>
        </w:rPr>
        <w:t>
      3) случайный выбор одного члена домашнего хозяйства, отвечающего на вопросы за всех членов домашнего хозяйства.</w:t>
      </w:r>
    </w:p>
    <w:bookmarkEnd w:id="27"/>
    <w:p>
      <w:pPr>
        <w:spacing w:after="0"/>
        <w:ind w:left="0"/>
        <w:jc w:val="both"/>
      </w:pPr>
      <w:r>
        <w:rPr>
          <w:rFonts w:ascii="Times New Roman"/>
          <w:b w:val="false"/>
          <w:i w:val="false"/>
          <w:color w:val="000000"/>
          <w:sz w:val="28"/>
        </w:rPr>
        <w:t>
      Обследование по использованию ИКТ в домашних хозяйствах осуществляется на основе выборочного метода наблюдения.</w:t>
      </w:r>
    </w:p>
    <w:p>
      <w:pPr>
        <w:spacing w:after="0"/>
        <w:ind w:left="0"/>
        <w:jc w:val="both"/>
      </w:pPr>
      <w:r>
        <w:rPr>
          <w:rFonts w:ascii="Times New Roman"/>
          <w:b w:val="false"/>
          <w:i w:val="false"/>
          <w:color w:val="000000"/>
          <w:sz w:val="28"/>
        </w:rPr>
        <w:t>
      Информационной базой для формирования выборочной совокупности домашних хозяйств служит Статистический регистр жилищного фонда (далее – СРЖФ).</w:t>
      </w:r>
    </w:p>
    <w:bookmarkStart w:name="z33" w:id="28"/>
    <w:p>
      <w:pPr>
        <w:spacing w:after="0"/>
        <w:ind w:left="0"/>
        <w:jc w:val="left"/>
      </w:pPr>
      <w:r>
        <w:rPr>
          <w:rFonts w:ascii="Times New Roman"/>
          <w:b/>
          <w:i w:val="false"/>
          <w:color w:val="000000"/>
        </w:rPr>
        <w:t xml:space="preserve"> Параграф 3. Проведения выборочного обследования домашних</w:t>
      </w:r>
      <w:r>
        <w:br/>
      </w:r>
      <w:r>
        <w:rPr>
          <w:rFonts w:ascii="Times New Roman"/>
          <w:b/>
          <w:i w:val="false"/>
          <w:color w:val="000000"/>
        </w:rPr>
        <w:t>хозяйств</w:t>
      </w:r>
    </w:p>
    <w:bookmarkEnd w:id="28"/>
    <w:bookmarkStart w:name="z34" w:id="29"/>
    <w:p>
      <w:pPr>
        <w:spacing w:after="0"/>
        <w:ind w:left="0"/>
        <w:jc w:val="both"/>
      </w:pPr>
      <w:r>
        <w:rPr>
          <w:rFonts w:ascii="Times New Roman"/>
          <w:b w:val="false"/>
          <w:i w:val="false"/>
          <w:color w:val="000000"/>
          <w:sz w:val="28"/>
        </w:rPr>
        <w:t>
      14. Выборочная совокупность составляет 21000 домашних хозяйств.</w:t>
      </w:r>
    </w:p>
    <w:bookmarkEnd w:id="29"/>
    <w:bookmarkStart w:name="z35" w:id="30"/>
    <w:p>
      <w:pPr>
        <w:spacing w:after="0"/>
        <w:ind w:left="0"/>
        <w:jc w:val="both"/>
      </w:pPr>
      <w:r>
        <w:rPr>
          <w:rFonts w:ascii="Times New Roman"/>
          <w:b w:val="false"/>
          <w:i w:val="false"/>
          <w:color w:val="000000"/>
          <w:sz w:val="28"/>
        </w:rPr>
        <w:t>
      15. Обследованию подлежат домашние хозяйства, проживающие во всех типах жилых помещений, за исключением проживающих в общих коммунальных квартирах, общежитиях, медико-социальных учреждениях (организациях) для престарелых, лиц с инвалидностью, детей с инвалидностью в условиях стационара, детских домах, тюрьмах, гостиницах, религиозных общинах и других аналогичных жилых помещениях.</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16. Опрос домашнего хозяйства проводится по основному месту жительства. Сбор данных начинается с вопроса о количестве проживающих в домашнем хозяйстве.</w:t>
      </w:r>
    </w:p>
    <w:bookmarkEnd w:id="31"/>
    <w:bookmarkStart w:name="z37" w:id="32"/>
    <w:p>
      <w:pPr>
        <w:spacing w:after="0"/>
        <w:ind w:left="0"/>
        <w:jc w:val="both"/>
      </w:pPr>
      <w:r>
        <w:rPr>
          <w:rFonts w:ascii="Times New Roman"/>
          <w:b w:val="false"/>
          <w:i w:val="false"/>
          <w:color w:val="000000"/>
          <w:sz w:val="28"/>
        </w:rPr>
        <w:t>
      17. В целях получения распространенных на генеральную совокупность данных, производится статистическое взвешивание итогов выборочного обследования. Реализация данного метода осуществляется посредством присвоения каждому обследованному домашнему хозяйству статистического веса, который характеризует общее число домашних хозяйств, представляемых частью, попавшей в выборку.</w:t>
      </w:r>
    </w:p>
    <w:bookmarkEnd w:id="32"/>
    <w:bookmarkStart w:name="z38" w:id="33"/>
    <w:p>
      <w:pPr>
        <w:spacing w:after="0"/>
        <w:ind w:left="0"/>
        <w:jc w:val="both"/>
      </w:pPr>
      <w:r>
        <w:rPr>
          <w:rFonts w:ascii="Times New Roman"/>
          <w:b w:val="false"/>
          <w:i w:val="false"/>
          <w:color w:val="000000"/>
          <w:sz w:val="28"/>
        </w:rPr>
        <w:t>
      18. Для расчета весов используются данные СРЖФ о распределении обследуемых домашних хозяйств отдельно по городскому и сельскому населению в региональном разрезе по следующей формуле:</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8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коэффициент распространения (вес домохозяйства) для i-ой страты;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количество домашних хозяйств в генеральной совокупности i-ой страты;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количество отчитавшихся домашних хозяйств в выборочной совокупности i-ой страты, i = 1, 2, …, h.</w:t>
      </w:r>
    </w:p>
    <w:p>
      <w:pPr>
        <w:spacing w:after="0"/>
        <w:ind w:left="0"/>
        <w:jc w:val="both"/>
      </w:pPr>
      <w:r>
        <w:rPr>
          <w:rFonts w:ascii="Times New Roman"/>
          <w:b w:val="false"/>
          <w:i w:val="false"/>
          <w:color w:val="000000"/>
          <w:sz w:val="28"/>
        </w:rPr>
        <w:t>
      Данный коэффициент распространения используется как для домашних хозяйств, так и для распространения обследованных членов домашнего хозяйства.</w:t>
      </w:r>
    </w:p>
    <w:bookmarkStart w:name="z39" w:id="34"/>
    <w:p>
      <w:pPr>
        <w:spacing w:after="0"/>
        <w:ind w:left="0"/>
        <w:jc w:val="both"/>
      </w:pPr>
      <w:r>
        <w:rPr>
          <w:rFonts w:ascii="Times New Roman"/>
          <w:b w:val="false"/>
          <w:i w:val="false"/>
          <w:color w:val="000000"/>
          <w:sz w:val="28"/>
        </w:rPr>
        <w:t>
      19. Для приведения численности населения по выборочному обследованию домашних хозяйств (после распространения) за отчетный год, стратифицированной с учетом половозрастной и региональной характеристик, в соответствие со среднегодовой численностью населения по данным демографической статистики за аналогичный год, стратифицированной по этим же характеристикам, используется метод калибровки. Основная идея получения калиброванных статистических оценок заключается в расчете калиброванных весов.</w:t>
      </w:r>
    </w:p>
    <w:bookmarkEnd w:id="34"/>
    <w:p>
      <w:pPr>
        <w:spacing w:after="0"/>
        <w:ind w:left="0"/>
        <w:jc w:val="both"/>
      </w:pPr>
      <w:r>
        <w:rPr>
          <w:rFonts w:ascii="Times New Roman"/>
          <w:b w:val="false"/>
          <w:i w:val="false"/>
          <w:color w:val="000000"/>
          <w:sz w:val="28"/>
        </w:rPr>
        <w:t>
      Калиброванный вес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j</w:t>
      </w:r>
      <w:r>
        <w:rPr>
          <w:rFonts w:ascii="Times New Roman"/>
          <w:b w:val="false"/>
          <w:i w:val="false"/>
          <w:color w:val="000000"/>
          <w:sz w:val="28"/>
        </w:rPr>
        <w:t xml:space="preserve"> – калиброванный коэффициент (вес) для j-ой страты;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dj</w:t>
      </w:r>
      <w:r>
        <w:rPr>
          <w:rFonts w:ascii="Times New Roman"/>
          <w:b w:val="false"/>
          <w:i w:val="false"/>
          <w:color w:val="000000"/>
          <w:sz w:val="28"/>
        </w:rPr>
        <w:t xml:space="preserve"> – численность населения по данным демографической статистики j-ой страты;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hj</w:t>
      </w:r>
      <w:r>
        <w:rPr>
          <w:rFonts w:ascii="Times New Roman"/>
          <w:b w:val="false"/>
          <w:i w:val="false"/>
          <w:color w:val="000000"/>
          <w:sz w:val="28"/>
        </w:rPr>
        <w:t xml:space="preserve"> – численность населения по выборочному обследованию домашних хозяйств j-ой страты.</w:t>
      </w:r>
    </w:p>
    <w:p>
      <w:pPr>
        <w:spacing w:after="0"/>
        <w:ind w:left="0"/>
        <w:jc w:val="both"/>
      </w:pPr>
      <w:r>
        <w:rPr>
          <w:rFonts w:ascii="Times New Roman"/>
          <w:b w:val="false"/>
          <w:i w:val="false"/>
          <w:color w:val="000000"/>
          <w:sz w:val="28"/>
        </w:rPr>
        <w:t>
      Для согласования численности населения по выборочному обследованию домашних хозяйств (после распространения) со среднегодовой численностью населения по данным демографической статистики используется поправочный коэффициент равный произведению коэффициента первоначального распространения (f</w:t>
      </w:r>
      <w:r>
        <w:rPr>
          <w:rFonts w:ascii="Times New Roman"/>
          <w:b w:val="false"/>
          <w:i w:val="false"/>
          <w:color w:val="000000"/>
          <w:vertAlign w:val="subscript"/>
        </w:rPr>
        <w:t>i</w:t>
      </w:r>
      <w:r>
        <w:rPr>
          <w:rFonts w:ascii="Times New Roman"/>
          <w:b w:val="false"/>
          <w:i w:val="false"/>
          <w:color w:val="000000"/>
          <w:sz w:val="28"/>
        </w:rPr>
        <w:t>) для i-ой страты и калиброванного коэффициента (К</w:t>
      </w:r>
      <w:r>
        <w:rPr>
          <w:rFonts w:ascii="Times New Roman"/>
          <w:b w:val="false"/>
          <w:i w:val="false"/>
          <w:color w:val="000000"/>
          <w:vertAlign w:val="subscript"/>
        </w:rPr>
        <w:t>j</w:t>
      </w:r>
      <w:r>
        <w:rPr>
          <w:rFonts w:ascii="Times New Roman"/>
          <w:b w:val="false"/>
          <w:i w:val="false"/>
          <w:color w:val="000000"/>
          <w:sz w:val="28"/>
        </w:rPr>
        <w:t>).</w:t>
      </w:r>
    </w:p>
    <w:bookmarkStart w:name="z40" w:id="35"/>
    <w:p>
      <w:pPr>
        <w:spacing w:after="0"/>
        <w:ind w:left="0"/>
        <w:jc w:val="left"/>
      </w:pPr>
      <w:r>
        <w:rPr>
          <w:rFonts w:ascii="Times New Roman"/>
          <w:b/>
          <w:i w:val="false"/>
          <w:color w:val="000000"/>
        </w:rPr>
        <w:t xml:space="preserve"> Глава 3. Формирование показателей статистики связи,</w:t>
      </w:r>
      <w:r>
        <w:br/>
      </w:r>
      <w:r>
        <w:rPr>
          <w:rFonts w:ascii="Times New Roman"/>
          <w:b/>
          <w:i w:val="false"/>
          <w:color w:val="000000"/>
        </w:rPr>
        <w:t>почтовой и курьерской деятельности</w:t>
      </w:r>
    </w:p>
    <w:bookmarkEnd w:id="35"/>
    <w:bookmarkStart w:name="z41" w:id="36"/>
    <w:p>
      <w:pPr>
        <w:spacing w:after="0"/>
        <w:ind w:left="0"/>
        <w:jc w:val="both"/>
      </w:pPr>
      <w:r>
        <w:rPr>
          <w:rFonts w:ascii="Times New Roman"/>
          <w:b w:val="false"/>
          <w:i w:val="false"/>
          <w:color w:val="000000"/>
          <w:sz w:val="28"/>
        </w:rPr>
        <w:t>
      20. Информационной базой при формировании показателей по статистике связи, почтовой и курьерской деятельности являются статистические формы месячной и годовой периодичности сплошным методом.</w:t>
      </w:r>
    </w:p>
    <w:bookmarkEnd w:id="36"/>
    <w:bookmarkStart w:name="z42" w:id="37"/>
    <w:p>
      <w:pPr>
        <w:spacing w:after="0"/>
        <w:ind w:left="0"/>
        <w:jc w:val="both"/>
      </w:pPr>
      <w:r>
        <w:rPr>
          <w:rFonts w:ascii="Times New Roman"/>
          <w:b w:val="false"/>
          <w:i w:val="false"/>
          <w:color w:val="000000"/>
          <w:sz w:val="28"/>
        </w:rPr>
        <w:t>
      21. Обследуются юридические лица и (или) их структурные и обособленные подразделения независимо от численности занятых, и индивидуальные предприниматели, имеющие основной и вторичный виды экономической деятельности "почтовая и курьерская деятельность" и "телекоммуникации".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22. Статистические формы по связи содержат перечень унифицированных показателей согласно международным рекомендациям для обеспечения мониторинга за современным рынком услуг связи, сопоставимости статистических данных на различных уровнях, международного обмена и сравнения статистических данных разных стран.</w:t>
      </w:r>
    </w:p>
    <w:bookmarkEnd w:id="38"/>
    <w:bookmarkStart w:name="z44" w:id="39"/>
    <w:p>
      <w:pPr>
        <w:spacing w:after="0"/>
        <w:ind w:left="0"/>
        <w:jc w:val="both"/>
      </w:pPr>
      <w:r>
        <w:rPr>
          <w:rFonts w:ascii="Times New Roman"/>
          <w:b w:val="false"/>
          <w:i w:val="false"/>
          <w:color w:val="000000"/>
          <w:sz w:val="28"/>
        </w:rPr>
        <w:t>
      23. Основными статистическими показателями отрасли связи, характеризующими объем предоставляемых услуг, являются "объем услуг связи в стоимостном и натуральном выражении". К объемам услуг основной и вторичной видам экономической деятельности предприятий связи относятся поступления средств от населения, предприятий и организаций за оказанные услуги связи в отчетном периоде вне зависимости от даты поступления оплаты за оказанную услугу.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24. На ежемесячной основе производится формирование оперативных месячных данных, включающих в себя основные показатели, необходимые для анализа развития отрасли связи. Формируются стоимостные показатели объема услуг связи с детализаций по видам связи в соответствии со Статистическим классификатором услуг, а также количественные показатели о средствах связи (число фиксированных телефонных линий, число абонентов сотовой связи, число абонентов фиксированного Интернета и число абонентов сотовой связи, имеющих доступ к сети Интернет).</w:t>
      </w:r>
    </w:p>
    <w:bookmarkEnd w:id="40"/>
    <w:bookmarkStart w:name="z46" w:id="41"/>
    <w:p>
      <w:pPr>
        <w:spacing w:after="0"/>
        <w:ind w:left="0"/>
        <w:jc w:val="both"/>
      </w:pPr>
      <w:r>
        <w:rPr>
          <w:rFonts w:ascii="Times New Roman"/>
          <w:b w:val="false"/>
          <w:i w:val="false"/>
          <w:color w:val="000000"/>
          <w:sz w:val="28"/>
        </w:rPr>
        <w:t>
      25. На годовой основе дополнительно формируется детализированный перечень показателей об услугах связи и почтовой и курьерской деятельности, а также информация о технических средствах и качестве услуг связи.</w:t>
      </w:r>
    </w:p>
    <w:bookmarkEnd w:id="41"/>
    <w:bookmarkStart w:name="z47" w:id="42"/>
    <w:p>
      <w:pPr>
        <w:spacing w:after="0"/>
        <w:ind w:left="0"/>
        <w:jc w:val="both"/>
      </w:pPr>
      <w:r>
        <w:rPr>
          <w:rFonts w:ascii="Times New Roman"/>
          <w:b w:val="false"/>
          <w:i w:val="false"/>
          <w:color w:val="000000"/>
          <w:sz w:val="28"/>
        </w:rPr>
        <w:t>
      26. Формирование показателей статистики связи производится путем агрегирования первичных данных, отчитавшихся юридических лиц и индивидуальных предпринимателей. На республиканском и региональном уровнях формируются сводные данные об объемах услуг в целом по отрасли связи, по видам, об объемах услуг связи, оказанных населению и в сельской местности.</w:t>
      </w:r>
    </w:p>
    <w:bookmarkEnd w:id="42"/>
    <w:bookmarkStart w:name="z48" w:id="43"/>
    <w:p>
      <w:pPr>
        <w:spacing w:after="0"/>
        <w:ind w:left="0"/>
        <w:jc w:val="both"/>
      </w:pPr>
      <w:r>
        <w:rPr>
          <w:rFonts w:ascii="Times New Roman"/>
          <w:b w:val="false"/>
          <w:i w:val="false"/>
          <w:color w:val="000000"/>
          <w:sz w:val="28"/>
        </w:rPr>
        <w:t>
      27. На основе сформированной информационной базы агрегированных отчетных данных рассчитывается индекс физического объема услуг связи, отражающий их процентное изменение в динамике, как в целом по отрасли связи, так и по видам.</w:t>
      </w:r>
    </w:p>
    <w:bookmarkEnd w:id="43"/>
    <w:bookmarkStart w:name="z49" w:id="44"/>
    <w:p>
      <w:pPr>
        <w:spacing w:after="0"/>
        <w:ind w:left="0"/>
        <w:jc w:val="left"/>
      </w:pPr>
      <w:r>
        <w:rPr>
          <w:rFonts w:ascii="Times New Roman"/>
          <w:b/>
          <w:i w:val="false"/>
          <w:color w:val="000000"/>
        </w:rPr>
        <w:t xml:space="preserve"> Параграф 1. Расчет индекса физического объема услуг связи</w:t>
      </w:r>
    </w:p>
    <w:bookmarkEnd w:id="44"/>
    <w:p>
      <w:pPr>
        <w:spacing w:after="0"/>
        <w:ind w:left="0"/>
        <w:jc w:val="both"/>
      </w:pPr>
      <w:r>
        <w:rPr>
          <w:rFonts w:ascii="Times New Roman"/>
          <w:b w:val="false"/>
          <w:i w:val="false"/>
          <w:color w:val="000000"/>
          <w:sz w:val="28"/>
        </w:rPr>
        <w:t>
      28. Основным показателем, характеризующим тенденции развития отрасли связи, почтовой и курьерской деятельности, является индекс физического объема (далее – ИФО) услуг связи. ИФО дает возможность анализировать явления и процессы, различные с точки зрения времени, места и содержания.</w:t>
      </w:r>
    </w:p>
    <w:bookmarkStart w:name="z50" w:id="45"/>
    <w:p>
      <w:pPr>
        <w:spacing w:after="0"/>
        <w:ind w:left="0"/>
        <w:jc w:val="both"/>
      </w:pPr>
      <w:r>
        <w:rPr>
          <w:rFonts w:ascii="Times New Roman"/>
          <w:b w:val="false"/>
          <w:i w:val="false"/>
          <w:color w:val="000000"/>
          <w:sz w:val="28"/>
        </w:rPr>
        <w:t>
      29. ИФО отражает изменение объема услуг связи в динамике и рассчитывается на основе объемов услуг связи и индексов цен на эти услуги для юридических и физических лиц.</w:t>
      </w:r>
    </w:p>
    <w:bookmarkEnd w:id="45"/>
    <w:bookmarkStart w:name="z51" w:id="46"/>
    <w:p>
      <w:pPr>
        <w:spacing w:after="0"/>
        <w:ind w:left="0"/>
        <w:jc w:val="both"/>
      </w:pPr>
      <w:r>
        <w:rPr>
          <w:rFonts w:ascii="Times New Roman"/>
          <w:b w:val="false"/>
          <w:i w:val="false"/>
          <w:color w:val="000000"/>
          <w:sz w:val="28"/>
        </w:rPr>
        <w:t>
      30. К объему отрасли "связь" относится объем, полученный от предоставления услуг почтовой и курьерской деятельности, а также услуги связи потребителям – физическим и юридическим лицам операторами услуг связи (предприятия всех форм собственности), с основным и вторичным видами экономической деятельности "Почтовая и курьерская деятельность" и "Телекоммуникации".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31. Расчет ИФО услуг связи осуществляется ежемесячно по периодам:</w:t>
      </w:r>
    </w:p>
    <w:bookmarkEnd w:id="47"/>
    <w:p>
      <w:pPr>
        <w:spacing w:after="0"/>
        <w:ind w:left="0"/>
        <w:jc w:val="both"/>
      </w:pPr>
      <w:r>
        <w:rPr>
          <w:rFonts w:ascii="Times New Roman"/>
          <w:b w:val="false"/>
          <w:i w:val="false"/>
          <w:color w:val="000000"/>
          <w:sz w:val="28"/>
        </w:rPr>
        <w:t>
      к соответствующему периоду предыдущего года;</w:t>
      </w:r>
    </w:p>
    <w:p>
      <w:pPr>
        <w:spacing w:after="0"/>
        <w:ind w:left="0"/>
        <w:jc w:val="both"/>
      </w:pPr>
      <w:r>
        <w:rPr>
          <w:rFonts w:ascii="Times New Roman"/>
          <w:b w:val="false"/>
          <w:i w:val="false"/>
          <w:color w:val="000000"/>
          <w:sz w:val="28"/>
        </w:rPr>
        <w:t>
      к соответствующему месяцу предыдущего года;</w:t>
      </w:r>
    </w:p>
    <w:p>
      <w:pPr>
        <w:spacing w:after="0"/>
        <w:ind w:left="0"/>
        <w:jc w:val="both"/>
      </w:pPr>
      <w:r>
        <w:rPr>
          <w:rFonts w:ascii="Times New Roman"/>
          <w:b w:val="false"/>
          <w:i w:val="false"/>
          <w:color w:val="000000"/>
          <w:sz w:val="28"/>
        </w:rPr>
        <w:t>
      к предыдущему месяцу текущего года.</w:t>
      </w:r>
    </w:p>
    <w:bookmarkStart w:name="z53" w:id="48"/>
    <w:p>
      <w:pPr>
        <w:spacing w:after="0"/>
        <w:ind w:left="0"/>
        <w:jc w:val="both"/>
      </w:pPr>
      <w:r>
        <w:rPr>
          <w:rFonts w:ascii="Times New Roman"/>
          <w:b w:val="false"/>
          <w:i w:val="false"/>
          <w:color w:val="000000"/>
          <w:sz w:val="28"/>
        </w:rPr>
        <w:t xml:space="preserve">
      32. ИФО услуг связи рассчитывается в целом по отрасли "связь", по отдельным видам связи, по республике, областям, столице и городу республиканского значения. </w:t>
      </w:r>
    </w:p>
    <w:bookmarkEnd w:id="48"/>
    <w:bookmarkStart w:name="z54" w:id="49"/>
    <w:p>
      <w:pPr>
        <w:spacing w:after="0"/>
        <w:ind w:left="0"/>
        <w:jc w:val="both"/>
      </w:pPr>
      <w:r>
        <w:rPr>
          <w:rFonts w:ascii="Times New Roman"/>
          <w:b w:val="false"/>
          <w:i w:val="false"/>
          <w:color w:val="000000"/>
          <w:sz w:val="28"/>
        </w:rPr>
        <w:t>
      33. Объемы от оказанных услуг связи отражаются в статистических формах общегосударственного статистического наблюдения в разрезе видов связи, в том числе оказанных физическим лицам.</w:t>
      </w:r>
    </w:p>
    <w:bookmarkEnd w:id="49"/>
    <w:bookmarkStart w:name="z55" w:id="50"/>
    <w:p>
      <w:pPr>
        <w:spacing w:after="0"/>
        <w:ind w:left="0"/>
        <w:jc w:val="both"/>
      </w:pPr>
      <w:r>
        <w:rPr>
          <w:rFonts w:ascii="Times New Roman"/>
          <w:b w:val="false"/>
          <w:i w:val="false"/>
          <w:color w:val="000000"/>
          <w:sz w:val="28"/>
        </w:rPr>
        <w:t>
      34. ИФО услуг связи в целом по отрасли и в разрезе видов рассчитывается в следующей последовательности:</w:t>
      </w:r>
    </w:p>
    <w:bookmarkEnd w:id="50"/>
    <w:bookmarkStart w:name="z73" w:id="51"/>
    <w:p>
      <w:pPr>
        <w:spacing w:after="0"/>
        <w:ind w:left="0"/>
        <w:jc w:val="both"/>
      </w:pPr>
      <w:r>
        <w:rPr>
          <w:rFonts w:ascii="Times New Roman"/>
          <w:b w:val="false"/>
          <w:i w:val="false"/>
          <w:color w:val="000000"/>
          <w:sz w:val="28"/>
        </w:rPr>
        <w:t>
      1) определяются доли объемов услуг связи, оказанных юридическим лицам и физическим лицам, в общем объеме услуг связи по отдельным видам связи и в целом по отрасли.</w:t>
      </w:r>
    </w:p>
    <w:bookmarkEnd w:id="51"/>
    <w:bookmarkStart w:name="z74" w:id="52"/>
    <w:p>
      <w:pPr>
        <w:spacing w:after="0"/>
        <w:ind w:left="0"/>
        <w:jc w:val="both"/>
      </w:pPr>
      <w:r>
        <w:rPr>
          <w:rFonts w:ascii="Times New Roman"/>
          <w:b w:val="false"/>
          <w:i w:val="false"/>
          <w:color w:val="000000"/>
          <w:sz w:val="28"/>
        </w:rPr>
        <w:t>
      Расчет производится по формуле:</w:t>
      </w:r>
    </w:p>
    <w:bookmarkEnd w:id="52"/>
    <w:bookmarkStart w:name="z7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9210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4"/>
    <w:p>
      <w:pPr>
        <w:spacing w:after="0"/>
        <w:ind w:left="0"/>
        <w:jc w:val="both"/>
      </w:pPr>
      <w:r>
        <w:rPr>
          <w:rFonts w:ascii="Times New Roman"/>
          <w:b w:val="false"/>
          <w:i w:val="false"/>
          <w:color w:val="000000"/>
          <w:sz w:val="28"/>
        </w:rPr>
        <w:t>
      где:</w:t>
      </w:r>
    </w:p>
    <w:bookmarkEnd w:id="54"/>
    <w:bookmarkStart w:name="z77" w:id="55"/>
    <w:p>
      <w:pPr>
        <w:spacing w:after="0"/>
        <w:ind w:left="0"/>
        <w:jc w:val="both"/>
      </w:pPr>
      <w:r>
        <w:rPr>
          <w:rFonts w:ascii="Times New Roman"/>
          <w:b w:val="false"/>
          <w:i w:val="false"/>
          <w:color w:val="000000"/>
          <w:sz w:val="28"/>
        </w:rPr>
        <w:t>
      Df – доля объема услуг связи оказанных физическим лицам в общем объеме услуг связи;</w:t>
      </w:r>
    </w:p>
    <w:bookmarkEnd w:id="55"/>
    <w:bookmarkStart w:name="z78" w:id="56"/>
    <w:p>
      <w:pPr>
        <w:spacing w:after="0"/>
        <w:ind w:left="0"/>
        <w:jc w:val="both"/>
      </w:pPr>
      <w:r>
        <w:rPr>
          <w:rFonts w:ascii="Times New Roman"/>
          <w:b w:val="false"/>
          <w:i w:val="false"/>
          <w:color w:val="000000"/>
          <w:sz w:val="28"/>
        </w:rPr>
        <w:t>
      Vf – объем услуг связи, оказанных физическим лицам;</w:t>
      </w:r>
    </w:p>
    <w:bookmarkEnd w:id="56"/>
    <w:bookmarkStart w:name="z79" w:id="57"/>
    <w:p>
      <w:pPr>
        <w:spacing w:after="0"/>
        <w:ind w:left="0"/>
        <w:jc w:val="both"/>
      </w:pPr>
      <w:r>
        <w:rPr>
          <w:rFonts w:ascii="Times New Roman"/>
          <w:b w:val="false"/>
          <w:i w:val="false"/>
          <w:color w:val="000000"/>
          <w:sz w:val="28"/>
        </w:rPr>
        <w:t>
      Vo – общий объем услуг связи.</w:t>
      </w:r>
    </w:p>
    <w:bookmarkEnd w:id="57"/>
    <w:bookmarkStart w:name="z80" w:id="58"/>
    <w:p>
      <w:pPr>
        <w:spacing w:after="0"/>
        <w:ind w:left="0"/>
        <w:jc w:val="both"/>
      </w:pPr>
      <w:r>
        <w:rPr>
          <w:rFonts w:ascii="Times New Roman"/>
          <w:b w:val="false"/>
          <w:i w:val="false"/>
          <w:color w:val="000000"/>
          <w:sz w:val="28"/>
        </w:rPr>
        <w:t>
      Расчет доли объемов услуг связи, оказанных юридическим лицам, в разрезе отдельных видов связи и в целом по отрасли производится по формуле:</w:t>
      </w:r>
    </w:p>
    <w:bookmarkEnd w:id="58"/>
    <w:bookmarkStart w:name="z8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844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44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где:</w:t>
      </w:r>
    </w:p>
    <w:bookmarkEnd w:id="60"/>
    <w:bookmarkStart w:name="z83" w:id="61"/>
    <w:p>
      <w:pPr>
        <w:spacing w:after="0"/>
        <w:ind w:left="0"/>
        <w:jc w:val="both"/>
      </w:pPr>
      <w:r>
        <w:rPr>
          <w:rFonts w:ascii="Times New Roman"/>
          <w:b w:val="false"/>
          <w:i w:val="false"/>
          <w:color w:val="000000"/>
          <w:sz w:val="28"/>
        </w:rPr>
        <w:t>
      Du – доля объема услуг связи, оказанных юридическим лицам в общем объеме услуг связи;</w:t>
      </w:r>
    </w:p>
    <w:bookmarkEnd w:id="61"/>
    <w:bookmarkStart w:name="z84" w:id="62"/>
    <w:p>
      <w:pPr>
        <w:spacing w:after="0"/>
        <w:ind w:left="0"/>
        <w:jc w:val="both"/>
      </w:pPr>
      <w:r>
        <w:rPr>
          <w:rFonts w:ascii="Times New Roman"/>
          <w:b w:val="false"/>
          <w:i w:val="false"/>
          <w:color w:val="000000"/>
          <w:sz w:val="28"/>
        </w:rPr>
        <w:t>
      Df – доля объема услуг связи, оказанных физическим лицам в общем объеме услуг.</w:t>
      </w:r>
    </w:p>
    <w:bookmarkEnd w:id="62"/>
    <w:bookmarkStart w:name="z85" w:id="63"/>
    <w:p>
      <w:pPr>
        <w:spacing w:after="0"/>
        <w:ind w:left="0"/>
        <w:jc w:val="both"/>
      </w:pPr>
      <w:r>
        <w:rPr>
          <w:rFonts w:ascii="Times New Roman"/>
          <w:b w:val="false"/>
          <w:i w:val="false"/>
          <w:color w:val="000000"/>
          <w:sz w:val="28"/>
        </w:rPr>
        <w:t>
      2) далее производится расчет общего индекса цен на услуги отдельных видов связи и в целом по отрасли.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35. Для расчета общего индекса цен на услуги отдельных видов связи и в целом по отрасли используются индексы цен на услуги связи для юридических и физических лиц, разрабатываемые по статистике цен. В случае отсутствия отдельных индивидуальных индексов цен на услуги связи используется более агрегированный индекс.</w:t>
      </w:r>
    </w:p>
    <w:bookmarkEnd w:id="64"/>
    <w:bookmarkStart w:name="z60" w:id="65"/>
    <w:p>
      <w:pPr>
        <w:spacing w:after="0"/>
        <w:ind w:left="0"/>
        <w:jc w:val="both"/>
      </w:pPr>
      <w:r>
        <w:rPr>
          <w:rFonts w:ascii="Times New Roman"/>
          <w:b w:val="false"/>
          <w:i w:val="false"/>
          <w:color w:val="000000"/>
          <w:sz w:val="28"/>
        </w:rPr>
        <w:t>
      36. Общий индекс цен на услуги связи составляет сумма структурных индексов цен на услуги связи, оказанные юридическим и физическим лицам. Структурные индексы цен рассчитываются по следующим формулам:</w:t>
      </w:r>
    </w:p>
    <w:bookmarkEnd w:id="65"/>
    <w:p>
      <w:pPr>
        <w:spacing w:after="0"/>
        <w:ind w:left="0"/>
        <w:jc w:val="both"/>
      </w:pPr>
      <w:r>
        <w:rPr>
          <w:rFonts w:ascii="Times New Roman"/>
          <w:b w:val="false"/>
          <w:i w:val="false"/>
          <w:color w:val="000000"/>
          <w:sz w:val="28"/>
        </w:rPr>
        <w:t>
      1) по юридическим лицам: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686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Isu – структурный индекс цен на услуги связи, оказанных юридическим лицам;</w:t>
      </w:r>
    </w:p>
    <w:p>
      <w:pPr>
        <w:spacing w:after="0"/>
        <w:ind w:left="0"/>
        <w:jc w:val="both"/>
      </w:pPr>
      <w:r>
        <w:rPr>
          <w:rFonts w:ascii="Times New Roman"/>
          <w:b w:val="false"/>
          <w:i w:val="false"/>
          <w:color w:val="000000"/>
          <w:sz w:val="28"/>
        </w:rPr>
        <w:t>
      Iu – индекс цен на услуги связи, оказанных юридическим лицам;</w:t>
      </w:r>
    </w:p>
    <w:p>
      <w:pPr>
        <w:spacing w:after="0"/>
        <w:ind w:left="0"/>
        <w:jc w:val="both"/>
      </w:pPr>
      <w:r>
        <w:rPr>
          <w:rFonts w:ascii="Times New Roman"/>
          <w:b w:val="false"/>
          <w:i w:val="false"/>
          <w:color w:val="000000"/>
          <w:sz w:val="28"/>
        </w:rPr>
        <w:t>
      Du – доля объема услуг связи юридическим лицам в общем объеме услуг связи.</w:t>
      </w:r>
    </w:p>
    <w:p>
      <w:pPr>
        <w:spacing w:after="0"/>
        <w:ind w:left="0"/>
        <w:jc w:val="both"/>
      </w:pPr>
      <w:r>
        <w:rPr>
          <w:rFonts w:ascii="Times New Roman"/>
          <w:b w:val="false"/>
          <w:i w:val="false"/>
          <w:color w:val="000000"/>
          <w:sz w:val="28"/>
        </w:rPr>
        <w:t>
      2) по физическим лицам: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702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Isf – структурный индекс цен на услуги связи, оказанных физическим лицам;</w:t>
      </w:r>
    </w:p>
    <w:p>
      <w:pPr>
        <w:spacing w:after="0"/>
        <w:ind w:left="0"/>
        <w:jc w:val="both"/>
      </w:pPr>
      <w:r>
        <w:rPr>
          <w:rFonts w:ascii="Times New Roman"/>
          <w:b w:val="false"/>
          <w:i w:val="false"/>
          <w:color w:val="000000"/>
          <w:sz w:val="28"/>
        </w:rPr>
        <w:t>
      If – индекс цен на услуги связи, оказанных физическим лицам;</w:t>
      </w:r>
    </w:p>
    <w:p>
      <w:pPr>
        <w:spacing w:after="0"/>
        <w:ind w:left="0"/>
        <w:jc w:val="both"/>
      </w:pPr>
      <w:r>
        <w:rPr>
          <w:rFonts w:ascii="Times New Roman"/>
          <w:b w:val="false"/>
          <w:i w:val="false"/>
          <w:color w:val="000000"/>
          <w:sz w:val="28"/>
        </w:rPr>
        <w:t>
      Df – доля объема услуг связи физическим лицам в общем объеме услуг связи.</w:t>
      </w:r>
    </w:p>
    <w:p>
      <w:pPr>
        <w:spacing w:after="0"/>
        <w:ind w:left="0"/>
        <w:jc w:val="both"/>
      </w:pPr>
      <w:r>
        <w:rPr>
          <w:rFonts w:ascii="Times New Roman"/>
          <w:b w:val="false"/>
          <w:i w:val="false"/>
          <w:color w:val="000000"/>
          <w:sz w:val="28"/>
        </w:rPr>
        <w:t>
      3) общий индекс цен на услуги связи (Io)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55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Пункт 36 - в редакции приказа Руководителя Бюро национальной статистики Агентства по стратегическому планированию и реформам РК от 11.10.2021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66"/>
    <w:p>
      <w:pPr>
        <w:spacing w:after="0"/>
        <w:ind w:left="0"/>
        <w:jc w:val="both"/>
      </w:pPr>
      <w:r>
        <w:rPr>
          <w:rFonts w:ascii="Times New Roman"/>
          <w:b w:val="false"/>
          <w:i w:val="false"/>
          <w:color w:val="000000"/>
          <w:sz w:val="28"/>
        </w:rPr>
        <w:t>
      37. Расчет индекса физического объема услуг связи в целом по отрасли и по видам связи осуществляется по формуле:</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68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IFO</w:t>
      </w:r>
      <w:r>
        <w:rPr>
          <w:rFonts w:ascii="Times New Roman"/>
          <w:b w:val="false"/>
          <w:i w:val="false"/>
          <w:color w:val="000000"/>
          <w:sz w:val="28"/>
        </w:rPr>
        <w:t xml:space="preserve"> – индекс физического объема услуг связи;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op</w:t>
      </w:r>
      <w:r>
        <w:rPr>
          <w:rFonts w:ascii="Times New Roman"/>
          <w:b w:val="false"/>
          <w:i w:val="false"/>
          <w:color w:val="000000"/>
          <w:sz w:val="28"/>
        </w:rPr>
        <w:t xml:space="preserve"> – общий объем услуг связи отчетного периода;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sp</w:t>
      </w:r>
      <w:r>
        <w:rPr>
          <w:rFonts w:ascii="Times New Roman"/>
          <w:b w:val="false"/>
          <w:i w:val="false"/>
          <w:color w:val="000000"/>
          <w:sz w:val="28"/>
        </w:rPr>
        <w:t xml:space="preserve"> – общий объем услуг связи соответствующего периода прошлого года (предыдущего месяца);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o</w:t>
      </w:r>
      <w:r>
        <w:rPr>
          <w:rFonts w:ascii="Times New Roman"/>
          <w:b w:val="false"/>
          <w:i w:val="false"/>
          <w:color w:val="000000"/>
          <w:sz w:val="28"/>
        </w:rPr>
        <w:t xml:space="preserve"> – общий индекс цен на услуги связи.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