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1279" w14:textId="8aa1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20 сентября 2016 года № 568. Зарегистрирован в Министерстве юстиции Республики Казахстан 24 ноября 2016 года № 14453. Утратил силу приказом Министра науки и высшего образования Республики Казахстан от 5 января 2024 года № 4.</w:t>
      </w:r>
    </w:p>
    <w:p>
      <w:pPr>
        <w:spacing w:after="0"/>
        <w:ind w:left="0"/>
        <w:jc w:val="both"/>
      </w:pPr>
      <w:r>
        <w:rPr>
          <w:rFonts w:ascii="Times New Roman"/>
          <w:b w:val="false"/>
          <w:i w:val="false"/>
          <w:color w:val="ff0000"/>
          <w:sz w:val="28"/>
        </w:rPr>
        <w:t xml:space="preserve">
      Сноска. Утратил силу приказом Министра науки и высшего образования РК от 05.01.2024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статьи 5 Закона Республики Казахстан от 27 июля 2007 года "Об образовании",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(зарегистрированный в Реестре государственной регистрации нормативных правовых актов под № 11716, опубликованный 30 июля 2015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предъявляемых к образовательной деятельности, и перечне документов, подтверждающих соответствие им, утвержденных указанным приказом: </w:t>
      </w:r>
    </w:p>
    <w:bookmarkEnd w:id="2"/>
    <w:bookmarkStart w:name="z6" w:id="3"/>
    <w:p>
      <w:pPr>
        <w:spacing w:after="0"/>
        <w:ind w:left="0"/>
        <w:jc w:val="both"/>
      </w:pPr>
      <w:r>
        <w:rPr>
          <w:rFonts w:ascii="Times New Roman"/>
          <w:b w:val="false"/>
          <w:i w:val="false"/>
          <w:color w:val="000000"/>
          <w:sz w:val="28"/>
        </w:rPr>
        <w:t>
      строку, порядковый номер 50, изложить в следующей редакции:</w:t>
      </w:r>
    </w:p>
    <w:bookmarkEnd w:id="3"/>
    <w:bookmarkStart w:name="z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50</w:t>
            </w:r>
          </w:p>
          <w:bookmarkEnd w:id="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 тренер", от общего числа преподавателей – не менее 30 %;</w:t>
            </w:r>
          </w:p>
          <w:p>
            <w:pPr>
              <w:spacing w:after="20"/>
              <w:ind w:left="20"/>
              <w:jc w:val="both"/>
            </w:pPr>
            <w:r>
              <w:rPr>
                <w:rFonts w:ascii="Times New Roman"/>
                <w:b w:val="false"/>
                <w:i w:val="false"/>
                <w:color w:val="000000"/>
                <w:sz w:val="20"/>
              </w:rPr>
              <w:t>
Доля преподавателей со степенью "магистр", для которых основным местом работы является лицензиат, от общего числа преподавателей – не более 60%;</w:t>
            </w:r>
          </w:p>
          <w:p>
            <w:pPr>
              <w:spacing w:after="20"/>
              <w:ind w:left="20"/>
              <w:jc w:val="both"/>
            </w:pPr>
            <w:r>
              <w:rPr>
                <w:rFonts w:ascii="Times New Roman"/>
                <w:b w:val="false"/>
                <w:i w:val="false"/>
                <w:color w:val="000000"/>
                <w:sz w:val="20"/>
              </w:rPr>
              <w:t>
Для группы специальностей "Искусство"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 не менее 30 %;</w:t>
            </w:r>
          </w:p>
          <w:p>
            <w:pPr>
              <w:spacing w:after="20"/>
              <w:ind w:left="20"/>
              <w:jc w:val="both"/>
            </w:pPr>
            <w:r>
              <w:rPr>
                <w:rFonts w:ascii="Times New Roman"/>
                <w:b w:val="false"/>
                <w:i w:val="false"/>
                <w:color w:val="000000"/>
                <w:sz w:val="20"/>
              </w:rPr>
              <w:t>
Доля преподавателей со степенью "магистр", для которых основным местом работы является лицензиат, от общего числа преподавателей – не более 60%;</w:t>
            </w:r>
          </w:p>
          <w:p>
            <w:pPr>
              <w:spacing w:after="20"/>
              <w:ind w:left="20"/>
              <w:jc w:val="both"/>
            </w:pPr>
            <w:r>
              <w:rPr>
                <w:rFonts w:ascii="Times New Roman"/>
                <w:b w:val="false"/>
                <w:i w:val="false"/>
                <w:color w:val="000000"/>
                <w:sz w:val="20"/>
              </w:rPr>
              <w:t>
по группе специальностей "Здравоохранение и социальное обеспечение (медицина)":</w:t>
            </w:r>
          </w:p>
          <w:p>
            <w:pPr>
              <w:spacing w:after="20"/>
              <w:ind w:left="20"/>
              <w:jc w:val="both"/>
            </w:pPr>
            <w:r>
              <w:rPr>
                <w:rFonts w:ascii="Times New Roman"/>
                <w:b w:val="false"/>
                <w:i w:val="false"/>
                <w:color w:val="000000"/>
                <w:sz w:val="20"/>
              </w:rPr>
              <w:t xml:space="preserve">
для национальных высших учебных заведений –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 не менее 40 %; </w:t>
            </w:r>
          </w:p>
          <w:p>
            <w:pPr>
              <w:spacing w:after="20"/>
              <w:ind w:left="20"/>
              <w:jc w:val="both"/>
            </w:pPr>
            <w:r>
              <w:rPr>
                <w:rFonts w:ascii="Times New Roman"/>
                <w:b w:val="false"/>
                <w:i w:val="false"/>
                <w:color w:val="000000"/>
                <w:sz w:val="20"/>
              </w:rPr>
              <w:t>
доля преподавателей со степенью "магистр" и/или окончивших резидентуру, с высшей/первой квалификационной категорией врача для которых основным местом работы является лицензиат, от общего числа преподавателей – не более 50%;</w:t>
            </w:r>
          </w:p>
          <w:p>
            <w:pPr>
              <w:spacing w:after="20"/>
              <w:ind w:left="20"/>
              <w:jc w:val="both"/>
            </w:pPr>
            <w:r>
              <w:rPr>
                <w:rFonts w:ascii="Times New Roman"/>
                <w:b w:val="false"/>
                <w:i w:val="false"/>
                <w:color w:val="000000"/>
                <w:sz w:val="20"/>
              </w:rPr>
              <w:t xml:space="preserve">
для университетов, академий –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 не менее 30 %; </w:t>
            </w:r>
          </w:p>
          <w:p>
            <w:pPr>
              <w:spacing w:after="20"/>
              <w:ind w:left="20"/>
              <w:jc w:val="both"/>
            </w:pPr>
            <w:r>
              <w:rPr>
                <w:rFonts w:ascii="Times New Roman"/>
                <w:b w:val="false"/>
                <w:i w:val="false"/>
                <w:color w:val="000000"/>
                <w:sz w:val="20"/>
              </w:rPr>
              <w:t>
Доля преподавателей со степенью "магистр" и/или окончивших резидентуру, с высшей/первой квалификационной категорией врача для которых основным местом работы является лицензиат, от общего числа преподавателей – не более 60%;</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не ниже подполковника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 w:id="6"/>
    <w:p>
      <w:pPr>
        <w:spacing w:after="0"/>
        <w:ind w:left="0"/>
        <w:jc w:val="both"/>
      </w:pP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строку, порядковый номер 62, изложить в следующей редакции:</w:t>
      </w:r>
    </w:p>
    <w:bookmarkEnd w:id="7"/>
    <w:bookmarkStart w:name="z11"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62</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в соответствии с дисциплинами учебного плана, в том числе соответствие образования преподавателей профилю преподаваемых дисциплин, а также соответствие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профилю преподаваемых дисциплин.</w:t>
            </w:r>
          </w:p>
          <w:p>
            <w:pPr>
              <w:spacing w:after="20"/>
              <w:ind w:left="20"/>
              <w:jc w:val="both"/>
            </w:pPr>
            <w:r>
              <w:rPr>
                <w:rFonts w:ascii="Times New Roman"/>
                <w:b w:val="false"/>
                <w:i w:val="false"/>
                <w:color w:val="000000"/>
                <w:sz w:val="20"/>
              </w:rPr>
              <w:t>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спортивных званий "Заслуженный тренер", от общего числа преподавателей – не менее 30 %;</w:t>
            </w:r>
          </w:p>
          <w:p>
            <w:pPr>
              <w:spacing w:after="20"/>
              <w:ind w:left="20"/>
              <w:jc w:val="both"/>
            </w:pPr>
            <w:r>
              <w:rPr>
                <w:rFonts w:ascii="Times New Roman"/>
                <w:b w:val="false"/>
                <w:i w:val="false"/>
                <w:color w:val="000000"/>
                <w:sz w:val="20"/>
              </w:rPr>
              <w:t>
Доля преподавателей со степенью "магистр", для которых основным местом работы является лицензиат, от общего числа преподавателей – не более 60%;</w:t>
            </w:r>
          </w:p>
          <w:p>
            <w:pPr>
              <w:spacing w:after="20"/>
              <w:ind w:left="20"/>
              <w:jc w:val="both"/>
            </w:pPr>
            <w:r>
              <w:rPr>
                <w:rFonts w:ascii="Times New Roman"/>
                <w:b w:val="false"/>
                <w:i w:val="false"/>
                <w:color w:val="000000"/>
                <w:sz w:val="20"/>
              </w:rPr>
              <w:t>
Для группы специальностей "Искусство"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преподаватели, удостоенные почетных званий и государственных наград Республики Казахстан, от общего числа преподавателей, – не менее 30 %;</w:t>
            </w:r>
          </w:p>
          <w:p>
            <w:pPr>
              <w:spacing w:after="20"/>
              <w:ind w:left="20"/>
              <w:jc w:val="both"/>
            </w:pPr>
            <w:r>
              <w:rPr>
                <w:rFonts w:ascii="Times New Roman"/>
                <w:b w:val="false"/>
                <w:i w:val="false"/>
                <w:color w:val="000000"/>
                <w:sz w:val="20"/>
              </w:rPr>
              <w:t>
Доля преподавателей со степенью "магистр", для которых основным местом работы является лицензиат, от общего числа преподавателей – не более 60%;</w:t>
            </w:r>
          </w:p>
          <w:p>
            <w:pPr>
              <w:spacing w:after="20"/>
              <w:ind w:left="20"/>
              <w:jc w:val="both"/>
            </w:pPr>
            <w:r>
              <w:rPr>
                <w:rFonts w:ascii="Times New Roman"/>
                <w:b w:val="false"/>
                <w:i w:val="false"/>
                <w:color w:val="000000"/>
                <w:sz w:val="20"/>
              </w:rPr>
              <w:t>
по группе специальностей "Здравоохранение и социальное обеспечение (медицина)":</w:t>
            </w:r>
          </w:p>
          <w:p>
            <w:pPr>
              <w:spacing w:after="20"/>
              <w:ind w:left="20"/>
              <w:jc w:val="both"/>
            </w:pPr>
            <w:r>
              <w:rPr>
                <w:rFonts w:ascii="Times New Roman"/>
                <w:b w:val="false"/>
                <w:i w:val="false"/>
                <w:color w:val="000000"/>
                <w:sz w:val="20"/>
              </w:rPr>
              <w:t>
для национальных высших учебных заведений –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 не менее 40 %; доля преподавателей со степенью "магистр" и/или окончивших резидентуру, с высшей/первой квалификационной категорией врача для которых основным местом работы является лицензиат, от общего числа преподавателей – не более 50%;</w:t>
            </w:r>
          </w:p>
          <w:p>
            <w:pPr>
              <w:spacing w:after="20"/>
              <w:ind w:left="20"/>
              <w:jc w:val="both"/>
            </w:pPr>
            <w:r>
              <w:rPr>
                <w:rFonts w:ascii="Times New Roman"/>
                <w:b w:val="false"/>
                <w:i w:val="false"/>
                <w:color w:val="000000"/>
                <w:sz w:val="20"/>
              </w:rPr>
              <w:t>
 для университетов, академий –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от общего числа преподавателей – не менее 30 %; Доля преподавателей со степенью "магистр" и/или окончивших резидентуру, с высшей/первой квалификационной категорией врача для которых основным местом работы является лицензиат, от общего числа преподавателей – не более 60%;</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не ниже подполковника и/или советника юстиции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укомплектованности педагогическими и преподавательскими кадрами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0"/>
    <w:p>
      <w:pPr>
        <w:spacing w:after="0"/>
        <w:ind w:left="0"/>
        <w:jc w:val="both"/>
      </w:pP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(Примкулов А.А.) в установленном законодательством порядке обеспечить:</w:t>
      </w:r>
    </w:p>
    <w:bookmarkEnd w:id="11"/>
    <w:bookmarkStart w:name="z15"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6" w:id="1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Информационно-правовую систему "Әділет" и периодические печатные издания на электронном носителе с приложением бумажного экземпляра, заверенного гербовой печатью;</w:t>
      </w:r>
    </w:p>
    <w:bookmarkEnd w:id="13"/>
    <w:bookmarkStart w:name="z17" w:id="14"/>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bookmarkEnd w:id="14"/>
    <w:bookmarkStart w:name="z18" w:id="15"/>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15"/>
    <w:bookmarkStart w:name="z19" w:id="16"/>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End w:id="16"/>
    <w:bookmarkStart w:name="z20" w:id="1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Б.А.</w:t>
      </w:r>
    </w:p>
    <w:bookmarkEnd w:id="17"/>
    <w:bookmarkStart w:name="z21" w:id="18"/>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образования и науки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Сагадиев </w:t>
            </w:r>
            <w:r>
              <w:rPr>
                <w:rFonts w:ascii="Times New Roman"/>
                <w:b w:val="false"/>
                <w:i w:val="false"/>
                <w:color w:val="000000"/>
                <w:sz w:val="20"/>
              </w:rPr>
              <w:t>
</w:t>
            </w:r>
          </w:p>
        </w:tc>
      </w:tr>
    </w:tbl>
    <w:p>
      <w:pPr>
        <w:spacing w:after="0"/>
        <w:ind w:left="0"/>
        <w:jc w:val="both"/>
      </w:pPr>
      <w:bookmarkStart w:name="z23"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Министр информации 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____________________Д. Абаев</w:t>
      </w:r>
    </w:p>
    <w:p>
      <w:pPr>
        <w:spacing w:after="0"/>
        <w:ind w:left="0"/>
        <w:jc w:val="both"/>
      </w:pPr>
      <w:r>
        <w:rPr>
          <w:rFonts w:ascii="Times New Roman"/>
          <w:b w:val="false"/>
          <w:i w:val="false"/>
          <w:color w:val="000000"/>
          <w:sz w:val="28"/>
        </w:rPr>
        <w:t>27 сентября 2016 года</w:t>
      </w:r>
    </w:p>
    <w:p>
      <w:pPr>
        <w:spacing w:after="0"/>
        <w:ind w:left="0"/>
        <w:jc w:val="both"/>
      </w:pPr>
      <w:bookmarkStart w:name="z24"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Генеральный прокурор</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____________________Ж. Асанов</w:t>
      </w:r>
    </w:p>
    <w:p>
      <w:pPr>
        <w:spacing w:after="0"/>
        <w:ind w:left="0"/>
        <w:jc w:val="both"/>
      </w:pPr>
      <w:r>
        <w:rPr>
          <w:rFonts w:ascii="Times New Roman"/>
          <w:b w:val="false"/>
          <w:i w:val="false"/>
          <w:color w:val="000000"/>
          <w:sz w:val="28"/>
        </w:rPr>
        <w:t>21 октября 2016 года</w:t>
      </w:r>
    </w:p>
    <w:p>
      <w:pPr>
        <w:spacing w:after="0"/>
        <w:ind w:left="0"/>
        <w:jc w:val="both"/>
      </w:pPr>
      <w:bookmarkStart w:name="z25"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Министр здравоохранения</w:t>
      </w:r>
    </w:p>
    <w:p>
      <w:pPr>
        <w:spacing w:after="0"/>
        <w:ind w:left="0"/>
        <w:jc w:val="both"/>
      </w:pPr>
      <w:r>
        <w:rPr>
          <w:rFonts w:ascii="Times New Roman"/>
          <w:b w:val="false"/>
          <w:i w:val="false"/>
          <w:color w:val="000000"/>
          <w:sz w:val="28"/>
        </w:rPr>
        <w:t>и социального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____________________Т. Дуйсенова</w:t>
      </w:r>
    </w:p>
    <w:p>
      <w:pPr>
        <w:spacing w:after="0"/>
        <w:ind w:left="0"/>
        <w:jc w:val="both"/>
      </w:pPr>
      <w:r>
        <w:rPr>
          <w:rFonts w:ascii="Times New Roman"/>
          <w:b w:val="false"/>
          <w:i w:val="false"/>
          <w:color w:val="000000"/>
          <w:sz w:val="28"/>
        </w:rPr>
        <w:t>10 октября 2016 года</w:t>
      </w:r>
    </w:p>
    <w:p>
      <w:pPr>
        <w:spacing w:after="0"/>
        <w:ind w:left="0"/>
        <w:jc w:val="both"/>
      </w:pPr>
      <w:bookmarkStart w:name="z26"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Министр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___________________С.Жасузаков</w:t>
      </w:r>
    </w:p>
    <w:p>
      <w:pPr>
        <w:spacing w:after="0"/>
        <w:ind w:left="0"/>
        <w:jc w:val="both"/>
      </w:pPr>
      <w:r>
        <w:rPr>
          <w:rFonts w:ascii="Times New Roman"/>
          <w:b w:val="false"/>
          <w:i w:val="false"/>
          <w:color w:val="000000"/>
          <w:sz w:val="28"/>
        </w:rPr>
        <w:t>12 октября 2016 года</w:t>
      </w:r>
    </w:p>
    <w:p>
      <w:pPr>
        <w:spacing w:after="0"/>
        <w:ind w:left="0"/>
        <w:jc w:val="both"/>
      </w:pPr>
      <w:bookmarkStart w:name="z27"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Министр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___________________А. Мухамедиулы</w:t>
      </w:r>
    </w:p>
    <w:p>
      <w:pPr>
        <w:spacing w:after="0"/>
        <w:ind w:left="0"/>
        <w:jc w:val="both"/>
      </w:pPr>
      <w:r>
        <w:rPr>
          <w:rFonts w:ascii="Times New Roman"/>
          <w:b w:val="false"/>
          <w:i w:val="false"/>
          <w:color w:val="000000"/>
          <w:sz w:val="28"/>
        </w:rPr>
        <w:t xml:space="preserve">6 октября 2016 года </w:t>
      </w:r>
    </w:p>
    <w:p>
      <w:pPr>
        <w:spacing w:after="0"/>
        <w:ind w:left="0"/>
        <w:jc w:val="both"/>
      </w:pPr>
      <w:bookmarkStart w:name="z28"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Комитета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___________________К. Масимов</w:t>
      </w:r>
    </w:p>
    <w:p>
      <w:pPr>
        <w:spacing w:after="0"/>
        <w:ind w:left="0"/>
        <w:jc w:val="both"/>
      </w:pPr>
      <w:r>
        <w:rPr>
          <w:rFonts w:ascii="Times New Roman"/>
          <w:b w:val="false"/>
          <w:i w:val="false"/>
          <w:color w:val="000000"/>
          <w:sz w:val="28"/>
        </w:rPr>
        <w:t>17 октября 2016 года</w:t>
      </w:r>
    </w:p>
    <w:p>
      <w:pPr>
        <w:spacing w:after="0"/>
        <w:ind w:left="0"/>
        <w:jc w:val="both"/>
      </w:pPr>
      <w:bookmarkStart w:name="z29"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___________________К.В. Бишимбаев</w:t>
      </w:r>
    </w:p>
    <w:p>
      <w:pPr>
        <w:spacing w:after="0"/>
        <w:ind w:left="0"/>
        <w:jc w:val="both"/>
      </w:pPr>
      <w:r>
        <w:rPr>
          <w:rFonts w:ascii="Times New Roman"/>
          <w:b w:val="false"/>
          <w:i w:val="false"/>
          <w:color w:val="000000"/>
          <w:sz w:val="28"/>
        </w:rPr>
        <w:t>30 сентября 2016 года</w:t>
      </w:r>
    </w:p>
    <w:p>
      <w:pPr>
        <w:spacing w:after="0"/>
        <w:ind w:left="0"/>
        <w:jc w:val="both"/>
      </w:pPr>
      <w:bookmarkStart w:name="z30"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___________________К.Н. Касымов</w:t>
      </w:r>
    </w:p>
    <w:p>
      <w:pPr>
        <w:spacing w:after="0"/>
        <w:ind w:left="0"/>
        <w:jc w:val="both"/>
      </w:pPr>
      <w:r>
        <w:rPr>
          <w:rFonts w:ascii="Times New Roman"/>
          <w:b w:val="false"/>
          <w:i w:val="false"/>
          <w:color w:val="000000"/>
          <w:sz w:val="28"/>
        </w:rPr>
        <w:t>3 октября 2016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