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74fc" w14:textId="da37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составлению счета операций с капиталом</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 ноября 2016 года № 254. Зарегистрирован в Министерстве юстиции Республики Казахстан 2 декабря 2016 года № 14477</w:t>
      </w:r>
    </w:p>
    <w:p>
      <w:pPr>
        <w:spacing w:after="0"/>
        <w:ind w:left="0"/>
        <w:jc w:val="both"/>
      </w:pPr>
      <w:r>
        <w:rPr>
          <w:rFonts w:ascii="Times New Roman"/>
          <w:b w:val="false"/>
          <w:i w:val="false"/>
          <w:color w:val="000000"/>
          <w:sz w:val="28"/>
        </w:rPr>
        <w:t xml:space="preserve">
      В соответствии с подпунктом </w:t>
      </w:r>
      <w:r>
        <w:rPr>
          <w:rFonts w:ascii="Times New Roman"/>
          <w:b/>
          <w:i w:val="false"/>
          <w:color w:val="000000"/>
          <w:sz w:val="28"/>
        </w:rPr>
        <w:t xml:space="preserve">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составлению счета операций с капиталом. </w:t>
      </w:r>
    </w:p>
    <w:bookmarkEnd w:id="0"/>
    <w:bookmarkStart w:name="z4" w:id="1"/>
    <w:p>
      <w:pPr>
        <w:spacing w:after="0"/>
        <w:ind w:left="0"/>
        <w:jc w:val="both"/>
      </w:pPr>
      <w:r>
        <w:rPr>
          <w:rFonts w:ascii="Times New Roman"/>
          <w:b w:val="false"/>
          <w:i w:val="false"/>
          <w:color w:val="000000"/>
          <w:sz w:val="28"/>
        </w:rPr>
        <w:t>
      2.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
    <w:bookmarkStart w:name="z5"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периодических печатных изданиях и информационно-правовой системе "Әділет";</w:t>
      </w:r>
    </w:p>
    <w:bookmarkEnd w:id="3"/>
    <w:bookmarkStart w:name="z7" w:id="4"/>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государственной регистрации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xml:space="preserve">
      3.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 </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7"/>
    <w:bookmarkStart w:name="z11"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Комитета по статистике</w:t>
            </w:r>
            <w:r>
              <w:br/>
            </w:r>
            <w:r>
              <w:rPr>
                <w:rFonts w:ascii="Times New Roman"/>
                <w:b w:val="false"/>
                <w:i/>
                <w:color w:val="000000"/>
                <w:sz w:val="20"/>
              </w:rPr>
              <w:t xml:space="preserve">Министерства национальной </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2016 года № 254</w:t>
            </w:r>
          </w:p>
        </w:tc>
      </w:tr>
    </w:tbl>
    <w:bookmarkStart w:name="z15" w:id="9"/>
    <w:p>
      <w:pPr>
        <w:spacing w:after="0"/>
        <w:ind w:left="0"/>
        <w:jc w:val="left"/>
      </w:pPr>
      <w:r>
        <w:rPr>
          <w:rFonts w:ascii="Times New Roman"/>
          <w:b/>
          <w:i w:val="false"/>
          <w:color w:val="000000"/>
        </w:rPr>
        <w:t xml:space="preserve"> Методика</w:t>
      </w:r>
      <w:r>
        <w:br/>
      </w:r>
      <w:r>
        <w:rPr>
          <w:rFonts w:ascii="Times New Roman"/>
          <w:b/>
          <w:i w:val="false"/>
          <w:color w:val="000000"/>
        </w:rPr>
        <w:t>по составлению счета операций с капиталом</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Методика по составлению счета операций с капиталом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11"/>
    <w:bookmarkStart w:name="z18" w:id="12"/>
    <w:p>
      <w:pPr>
        <w:spacing w:after="0"/>
        <w:ind w:left="0"/>
        <w:jc w:val="both"/>
      </w:pPr>
      <w:r>
        <w:rPr>
          <w:rFonts w:ascii="Times New Roman"/>
          <w:b w:val="false"/>
          <w:i w:val="false"/>
          <w:color w:val="000000"/>
          <w:sz w:val="28"/>
        </w:rPr>
        <w:t>
      2. Настоящая Методика предназначена для использования Комитетом по статистике Министерства национальной экономики Республики Казахстана (далее – Комитет) при формировании счета операций с капиталом и применяется для целей Системы национальных счетов.</w:t>
      </w:r>
    </w:p>
    <w:bookmarkEnd w:id="12"/>
    <w:bookmarkStart w:name="z19" w:id="13"/>
    <w:p>
      <w:pPr>
        <w:spacing w:after="0"/>
        <w:ind w:left="0"/>
        <w:jc w:val="both"/>
      </w:pPr>
      <w:r>
        <w:rPr>
          <w:rFonts w:ascii="Times New Roman"/>
          <w:b w:val="false"/>
          <w:i w:val="false"/>
          <w:color w:val="000000"/>
          <w:sz w:val="28"/>
        </w:rPr>
        <w:t>
      3. Целью настоящей Методики является описание процедуры составления счета операций с капиталом, отражения основных источников данных, используемых для оценки нефинансовых активов и повышения качества расчетов макроэкономических показателей.</w:t>
      </w:r>
    </w:p>
    <w:bookmarkEnd w:id="13"/>
    <w:bookmarkStart w:name="z20" w:id="14"/>
    <w:p>
      <w:pPr>
        <w:spacing w:after="0"/>
        <w:ind w:left="0"/>
        <w:jc w:val="both"/>
      </w:pPr>
      <w:r>
        <w:rPr>
          <w:rFonts w:ascii="Times New Roman"/>
          <w:b w:val="false"/>
          <w:i w:val="false"/>
          <w:color w:val="000000"/>
          <w:sz w:val="28"/>
        </w:rPr>
        <w:t xml:space="preserve">
      4. В качестве методологической основы использована Система национальных счетов 2008 года, подготовленная Международным Валютным Фондом, Организацией экономического сотрудничества и развития, Статистическим бюро Европейских сообществ, Организацией Объединенных Наций и Всемирным банком. </w:t>
      </w:r>
    </w:p>
    <w:bookmarkEnd w:id="14"/>
    <w:bookmarkStart w:name="z21" w:id="15"/>
    <w:p>
      <w:pPr>
        <w:spacing w:after="0"/>
        <w:ind w:left="0"/>
        <w:jc w:val="both"/>
      </w:pPr>
      <w:r>
        <w:rPr>
          <w:rFonts w:ascii="Times New Roman"/>
          <w:b w:val="false"/>
          <w:i w:val="false"/>
          <w:color w:val="000000"/>
          <w:sz w:val="28"/>
        </w:rPr>
        <w:t>
      5. В настоящей Методике используются основные определения:</w:t>
      </w:r>
    </w:p>
    <w:bookmarkEnd w:id="15"/>
    <w:bookmarkStart w:name="z22" w:id="16"/>
    <w:p>
      <w:pPr>
        <w:spacing w:after="0"/>
        <w:ind w:left="0"/>
        <w:jc w:val="both"/>
      </w:pPr>
      <w:r>
        <w:rPr>
          <w:rFonts w:ascii="Times New Roman"/>
          <w:b w:val="false"/>
          <w:i w:val="false"/>
          <w:color w:val="000000"/>
          <w:sz w:val="28"/>
        </w:rPr>
        <w:t>
      1) капитальные трансферты – безвозмездные трансферты, при которых сторона, осуществляющая трансферт, использует соответствующие ресурсы путем передачи актива (кроме наличных денежных средств и материальных оборотных средств) или погашения финансового требования (кроме дебиторской задолженности), сторона, получающая трансферт, обязана приобрести некоторый актив (кроме наличных денежных средств), или имеют место оба условия;</w:t>
      </w:r>
    </w:p>
    <w:bookmarkEnd w:id="16"/>
    <w:bookmarkStart w:name="z23" w:id="17"/>
    <w:p>
      <w:pPr>
        <w:spacing w:after="0"/>
        <w:ind w:left="0"/>
        <w:jc w:val="both"/>
      </w:pPr>
      <w:r>
        <w:rPr>
          <w:rFonts w:ascii="Times New Roman"/>
          <w:b w:val="false"/>
          <w:i w:val="false"/>
          <w:color w:val="000000"/>
          <w:sz w:val="28"/>
        </w:rPr>
        <w:t>
      2) ценности – произведенные товары значительной стоимости, которые не используются преимущественно в целях производства или потребления, но хранятся в течение некоторого периода времени в качестве запасов стоимости;</w:t>
      </w:r>
    </w:p>
    <w:bookmarkEnd w:id="17"/>
    <w:bookmarkStart w:name="z24" w:id="18"/>
    <w:p>
      <w:pPr>
        <w:spacing w:after="0"/>
        <w:ind w:left="0"/>
        <w:jc w:val="both"/>
      </w:pPr>
      <w:r>
        <w:rPr>
          <w:rFonts w:ascii="Times New Roman"/>
          <w:b w:val="false"/>
          <w:i w:val="false"/>
          <w:color w:val="000000"/>
          <w:sz w:val="28"/>
        </w:rPr>
        <w:t>
      3) изменение запасов материальных оборотных средств – стоимость поступлений в запасы материальных оборотных средств за вычетом стоимости выбытий из запасов и за вычетом стоимости любых текущих потерь товаров, которые находились в запасах материальных оборотных средств, в течение отчетного периода;</w:t>
      </w:r>
    </w:p>
    <w:bookmarkEnd w:id="18"/>
    <w:bookmarkStart w:name="z25" w:id="19"/>
    <w:p>
      <w:pPr>
        <w:spacing w:after="0"/>
        <w:ind w:left="0"/>
        <w:jc w:val="both"/>
      </w:pPr>
      <w:r>
        <w:rPr>
          <w:rFonts w:ascii="Times New Roman"/>
          <w:b w:val="false"/>
          <w:i w:val="false"/>
          <w:color w:val="000000"/>
          <w:sz w:val="28"/>
        </w:rPr>
        <w:t>
      4) валовое накопление основного капитала (далее – ВНОК) – стоимость приобретения производителями новых и существующих основных средств за вычетом стоимости выбытия основных средств, используемых в производстве для создания нового дохода в будущем;</w:t>
      </w:r>
    </w:p>
    <w:bookmarkEnd w:id="19"/>
    <w:bookmarkStart w:name="z26" w:id="20"/>
    <w:p>
      <w:pPr>
        <w:spacing w:after="0"/>
        <w:ind w:left="0"/>
        <w:jc w:val="both"/>
      </w:pPr>
      <w:r>
        <w:rPr>
          <w:rFonts w:ascii="Times New Roman"/>
          <w:b w:val="false"/>
          <w:i w:val="false"/>
          <w:color w:val="000000"/>
          <w:sz w:val="28"/>
        </w:rPr>
        <w:t>
      5) основные фонды – произведенные активы, которые используются неоднократно или непрерывно в процессах производства более одного года;</w:t>
      </w:r>
    </w:p>
    <w:bookmarkEnd w:id="20"/>
    <w:bookmarkStart w:name="z27" w:id="21"/>
    <w:p>
      <w:pPr>
        <w:spacing w:after="0"/>
        <w:ind w:left="0"/>
        <w:jc w:val="both"/>
      </w:pPr>
      <w:r>
        <w:rPr>
          <w:rFonts w:ascii="Times New Roman"/>
          <w:b w:val="false"/>
          <w:i w:val="false"/>
          <w:color w:val="000000"/>
          <w:sz w:val="28"/>
        </w:rPr>
        <w:t>
      6) потребление основного капитала – уменьшение в течение отчетного периода текущей стоимости запаса основных фондов, принадлежащих производителю и используемых им, в результате физического износа, нормального морального износа или случайных повреждений;</w:t>
      </w:r>
    </w:p>
    <w:bookmarkEnd w:id="21"/>
    <w:bookmarkStart w:name="z28" w:id="22"/>
    <w:p>
      <w:pPr>
        <w:spacing w:after="0"/>
        <w:ind w:left="0"/>
        <w:jc w:val="both"/>
      </w:pPr>
      <w:r>
        <w:rPr>
          <w:rFonts w:ascii="Times New Roman"/>
          <w:b w:val="false"/>
          <w:i w:val="false"/>
          <w:color w:val="000000"/>
          <w:sz w:val="28"/>
        </w:rPr>
        <w:t>
      7) непроизведенные нефинансовые активы – активы, не являющиеся результатом производственных процессов (природные ресурсы, контракты, договоры аренды и лицензии, приобретенный гудвилл и маркетинговые активы).</w:t>
      </w:r>
    </w:p>
    <w:bookmarkEnd w:id="22"/>
    <w:bookmarkStart w:name="z29" w:id="23"/>
    <w:p>
      <w:pPr>
        <w:spacing w:after="0"/>
        <w:ind w:left="0"/>
        <w:jc w:val="left"/>
      </w:pPr>
      <w:r>
        <w:rPr>
          <w:rFonts w:ascii="Times New Roman"/>
          <w:b/>
          <w:i w:val="false"/>
          <w:color w:val="000000"/>
        </w:rPr>
        <w:t xml:space="preserve"> Глава 2. Методологическая основа Счета операций с капиталом</w:t>
      </w:r>
    </w:p>
    <w:bookmarkEnd w:id="23"/>
    <w:bookmarkStart w:name="z30" w:id="24"/>
    <w:p>
      <w:pPr>
        <w:spacing w:after="0"/>
        <w:ind w:left="0"/>
        <w:jc w:val="both"/>
      </w:pPr>
      <w:r>
        <w:rPr>
          <w:rFonts w:ascii="Times New Roman"/>
          <w:b w:val="false"/>
          <w:i w:val="false"/>
          <w:color w:val="000000"/>
          <w:sz w:val="28"/>
        </w:rPr>
        <w:t xml:space="preserve">
      6. Счет операций с капиталом (далее – Счет) является первым из четырех счетов, в которых отражаются изменения в стоимости активов, держателями которых являются институциональные единицы. В Счете отражаются операции с нефинансовыми активами. </w:t>
      </w:r>
    </w:p>
    <w:bookmarkEnd w:id="24"/>
    <w:bookmarkStart w:name="z31" w:id="25"/>
    <w:p>
      <w:pPr>
        <w:spacing w:after="0"/>
        <w:ind w:left="0"/>
        <w:jc w:val="both"/>
      </w:pPr>
      <w:r>
        <w:rPr>
          <w:rFonts w:ascii="Times New Roman"/>
          <w:b w:val="false"/>
          <w:i w:val="false"/>
          <w:color w:val="000000"/>
          <w:sz w:val="28"/>
        </w:rPr>
        <w:t xml:space="preserve">
      7. Структура Счета операций с капиталом представлена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p>
    <w:bookmarkEnd w:id="25"/>
    <w:bookmarkStart w:name="z32" w:id="26"/>
    <w:p>
      <w:pPr>
        <w:spacing w:after="0"/>
        <w:ind w:left="0"/>
        <w:jc w:val="both"/>
      </w:pPr>
      <w:r>
        <w:rPr>
          <w:rFonts w:ascii="Times New Roman"/>
          <w:b w:val="false"/>
          <w:i w:val="false"/>
          <w:color w:val="000000"/>
          <w:sz w:val="28"/>
        </w:rPr>
        <w:t xml:space="preserve">
      8. На правой стороне Счета отражаются ресурсы для накопления активов. Они состоят из чистого сбережения – балансирующей статьи, перенесенной из счета использования доходов и капитальных трансфертов. </w:t>
      </w:r>
    </w:p>
    <w:bookmarkEnd w:id="26"/>
    <w:bookmarkStart w:name="z33" w:id="27"/>
    <w:p>
      <w:pPr>
        <w:spacing w:after="0"/>
        <w:ind w:left="0"/>
        <w:jc w:val="both"/>
      </w:pPr>
      <w:r>
        <w:rPr>
          <w:rFonts w:ascii="Times New Roman"/>
          <w:b w:val="false"/>
          <w:i w:val="false"/>
          <w:color w:val="000000"/>
          <w:sz w:val="28"/>
        </w:rPr>
        <w:t xml:space="preserve">
      9. Сбережение и капитальные трансферты вместе показывают, сколько ресурсов имеется в экономике для приобретения нефинансового капитала, в форме накопления как элемента валового внутреннего продукта, и непроизведенных нефинансовых активов. Эта сумма показывается в качестве отдельного агрегата, называемого изменениями в чистой стоимости капитала вследствие сбережения и капитальных трансфертов. </w:t>
      </w:r>
    </w:p>
    <w:bookmarkEnd w:id="27"/>
    <w:bookmarkStart w:name="z34" w:id="28"/>
    <w:p>
      <w:pPr>
        <w:spacing w:after="0"/>
        <w:ind w:left="0"/>
        <w:jc w:val="both"/>
      </w:pPr>
      <w:r>
        <w:rPr>
          <w:rFonts w:ascii="Times New Roman"/>
          <w:b w:val="false"/>
          <w:i w:val="false"/>
          <w:color w:val="000000"/>
          <w:sz w:val="28"/>
        </w:rPr>
        <w:t xml:space="preserve">
      10. На левой стороне счета использования отражаются различные инвестиции в нефинансовые активы и потребление основного капитала. </w:t>
      </w:r>
    </w:p>
    <w:bookmarkEnd w:id="28"/>
    <w:bookmarkStart w:name="z35" w:id="29"/>
    <w:p>
      <w:pPr>
        <w:spacing w:after="0"/>
        <w:ind w:left="0"/>
        <w:jc w:val="left"/>
      </w:pPr>
      <w:r>
        <w:rPr>
          <w:rFonts w:ascii="Times New Roman"/>
          <w:b/>
          <w:i w:val="false"/>
          <w:color w:val="000000"/>
        </w:rPr>
        <w:t xml:space="preserve"> Глава 3. Формирование счета операций с капиталом</w:t>
      </w:r>
    </w:p>
    <w:bookmarkEnd w:id="29"/>
    <w:bookmarkStart w:name="z36" w:id="30"/>
    <w:p>
      <w:pPr>
        <w:spacing w:after="0"/>
        <w:ind w:left="0"/>
        <w:jc w:val="both"/>
      </w:pPr>
      <w:r>
        <w:rPr>
          <w:rFonts w:ascii="Times New Roman"/>
          <w:b w:val="false"/>
          <w:i w:val="false"/>
          <w:color w:val="000000"/>
          <w:sz w:val="28"/>
        </w:rPr>
        <w:t>
      11. В Счете отражаются операции с нефинансовыми активами по следующим статьям:</w:t>
      </w:r>
    </w:p>
    <w:bookmarkEnd w:id="30"/>
    <w:bookmarkStart w:name="z37" w:id="31"/>
    <w:p>
      <w:pPr>
        <w:spacing w:after="0"/>
        <w:ind w:left="0"/>
        <w:jc w:val="both"/>
      </w:pPr>
      <w:r>
        <w:rPr>
          <w:rFonts w:ascii="Times New Roman"/>
          <w:b w:val="false"/>
          <w:i w:val="false"/>
          <w:color w:val="000000"/>
          <w:sz w:val="28"/>
        </w:rPr>
        <w:t>
      1) валовое накопление основного капитала;</w:t>
      </w:r>
    </w:p>
    <w:bookmarkEnd w:id="31"/>
    <w:bookmarkStart w:name="z38" w:id="32"/>
    <w:p>
      <w:pPr>
        <w:spacing w:after="0"/>
        <w:ind w:left="0"/>
        <w:jc w:val="both"/>
      </w:pPr>
      <w:r>
        <w:rPr>
          <w:rFonts w:ascii="Times New Roman"/>
          <w:b w:val="false"/>
          <w:i w:val="false"/>
          <w:color w:val="000000"/>
          <w:sz w:val="28"/>
        </w:rPr>
        <w:t>
      2) потребление основного капитала;</w:t>
      </w:r>
    </w:p>
    <w:bookmarkEnd w:id="32"/>
    <w:bookmarkStart w:name="z39" w:id="33"/>
    <w:p>
      <w:pPr>
        <w:spacing w:after="0"/>
        <w:ind w:left="0"/>
        <w:jc w:val="both"/>
      </w:pPr>
      <w:r>
        <w:rPr>
          <w:rFonts w:ascii="Times New Roman"/>
          <w:b w:val="false"/>
          <w:i w:val="false"/>
          <w:color w:val="000000"/>
          <w:sz w:val="28"/>
        </w:rPr>
        <w:t>
      3) изменение запасов материальных оборотных средств;</w:t>
      </w:r>
    </w:p>
    <w:bookmarkEnd w:id="33"/>
    <w:bookmarkStart w:name="z40" w:id="34"/>
    <w:p>
      <w:pPr>
        <w:spacing w:after="0"/>
        <w:ind w:left="0"/>
        <w:jc w:val="both"/>
      </w:pPr>
      <w:r>
        <w:rPr>
          <w:rFonts w:ascii="Times New Roman"/>
          <w:b w:val="false"/>
          <w:i w:val="false"/>
          <w:color w:val="000000"/>
          <w:sz w:val="28"/>
        </w:rPr>
        <w:t>
      4) приобретение ценностей за вычетом выбытия;</w:t>
      </w:r>
    </w:p>
    <w:bookmarkEnd w:id="34"/>
    <w:bookmarkStart w:name="z41" w:id="35"/>
    <w:p>
      <w:pPr>
        <w:spacing w:after="0"/>
        <w:ind w:left="0"/>
        <w:jc w:val="both"/>
      </w:pPr>
      <w:r>
        <w:rPr>
          <w:rFonts w:ascii="Times New Roman"/>
          <w:b w:val="false"/>
          <w:i w:val="false"/>
          <w:color w:val="000000"/>
          <w:sz w:val="28"/>
        </w:rPr>
        <w:t>
      5) приобретение непроизведенных активов за вычетом выбытия.</w:t>
      </w:r>
    </w:p>
    <w:bookmarkEnd w:id="35"/>
    <w:bookmarkStart w:name="z42" w:id="36"/>
    <w:p>
      <w:pPr>
        <w:spacing w:after="0"/>
        <w:ind w:left="0"/>
        <w:jc w:val="both"/>
      </w:pPr>
      <w:r>
        <w:rPr>
          <w:rFonts w:ascii="Times New Roman"/>
          <w:b w:val="false"/>
          <w:i w:val="false"/>
          <w:color w:val="000000"/>
          <w:sz w:val="28"/>
        </w:rPr>
        <w:t>
      12. Источником данных для оценки ВНОК служит официальная статистическая информация по приобретениям (выбытиям) основных фондов, инвестициям в основной капитал институциональных единиц-резидентов, производству, экспорту и импорту продуктов, относящихся к основным фондам. Детализация основных фондов по типам активов и видам экономической деятельности зависит от наличия статистических данных.</w:t>
      </w:r>
    </w:p>
    <w:bookmarkEnd w:id="36"/>
    <w:bookmarkStart w:name="z43" w:id="37"/>
    <w:p>
      <w:pPr>
        <w:spacing w:after="0"/>
        <w:ind w:left="0"/>
        <w:jc w:val="both"/>
      </w:pPr>
      <w:r>
        <w:rPr>
          <w:rFonts w:ascii="Times New Roman"/>
          <w:b w:val="false"/>
          <w:i w:val="false"/>
          <w:color w:val="000000"/>
          <w:sz w:val="28"/>
        </w:rPr>
        <w:t xml:space="preserve">
      13. Потребление основного капитала исчисляется в отношении всех основных фондов, находящихся в собственности производителя, за исключением ценностей (драгоценных металлов, камней). Потребление основного капитала не включает контракты, договоры аренды и лицензии, истощение или деградацию природных активов, таких как земля, минералы или другие полезные ископаемые, уголь, нефть, природный газ. </w:t>
      </w:r>
    </w:p>
    <w:bookmarkEnd w:id="37"/>
    <w:bookmarkStart w:name="z44" w:id="38"/>
    <w:p>
      <w:pPr>
        <w:spacing w:after="0"/>
        <w:ind w:left="0"/>
        <w:jc w:val="both"/>
      </w:pPr>
      <w:r>
        <w:rPr>
          <w:rFonts w:ascii="Times New Roman"/>
          <w:b w:val="false"/>
          <w:i w:val="false"/>
          <w:color w:val="000000"/>
          <w:sz w:val="28"/>
        </w:rPr>
        <w:t>
      14. В результате физического износа и появления новых видов основных фондов стоимость активов снижается. Многие сооружения, включая автодороги и железнодорожные пути, идут на снос и слом ввиду их морального устаревания. Потребление основного капитала исчисляется для всех видов сооружений, машин и оборудования, включая те, которые находятся в собственности единиц органов государственного управления.</w:t>
      </w:r>
    </w:p>
    <w:bookmarkEnd w:id="38"/>
    <w:bookmarkStart w:name="z45" w:id="39"/>
    <w:p>
      <w:pPr>
        <w:spacing w:after="0"/>
        <w:ind w:left="0"/>
        <w:jc w:val="both"/>
      </w:pPr>
      <w:r>
        <w:rPr>
          <w:rFonts w:ascii="Times New Roman"/>
          <w:b w:val="false"/>
          <w:i w:val="false"/>
          <w:color w:val="000000"/>
          <w:sz w:val="28"/>
        </w:rPr>
        <w:t>
      15. Потребление основного капитала отражает лежащие в его основе затраты ресурсов и относительный спрос в период, когда осуществляется производство. Потребление основного капитала исчислено с использованием фактических или условно рассчитанных цен и арендных платежей за использование основных фондов, которые преобладали в этом периоде, а не в том периоде, когда они были приобретены. К исторической стоимости основных фондов относится стоимость в ценах, которые были уплачены при их приобретении, и не являются подходящими для исчисления потребления основного капитала, поскольку цены меняются во времени.</w:t>
      </w:r>
    </w:p>
    <w:bookmarkEnd w:id="39"/>
    <w:bookmarkStart w:name="z46" w:id="40"/>
    <w:p>
      <w:pPr>
        <w:spacing w:after="0"/>
        <w:ind w:left="0"/>
        <w:jc w:val="both"/>
      </w:pPr>
      <w:r>
        <w:rPr>
          <w:rFonts w:ascii="Times New Roman"/>
          <w:b w:val="false"/>
          <w:i w:val="false"/>
          <w:color w:val="000000"/>
          <w:sz w:val="28"/>
        </w:rPr>
        <w:t>
      16. При оценке потребления основного капитала используется метод линейной амортизации основных фондов. Средний срок службы основного фонда рассчитывается на основании данных общегосударственных статистических наблюдений. Полученные результаты анализируются и сравниваются с административными данными из административных источников и данными других стран, проводящими специальные обследования. Запасы актива в текущих ценах переоцениваются с использованием индексов цен. Потребление основного капитала оценивается по следующей формуле:</w:t>
      </w:r>
    </w:p>
    <w:bookmarkEnd w:id="40"/>
    <w:bookmarkStart w:name="z47" w:id="41"/>
    <w:p>
      <w:pPr>
        <w:spacing w:after="0"/>
        <w:ind w:left="0"/>
        <w:jc w:val="both"/>
      </w:pPr>
      <w:r>
        <w:rPr>
          <w:rFonts w:ascii="Times New Roman"/>
          <w:b w:val="false"/>
          <w:i w:val="false"/>
          <w:color w:val="000000"/>
          <w:sz w:val="28"/>
        </w:rPr>
        <w:t>
      </w:t>
      </w:r>
    </w:p>
    <w:bookmarkEnd w:id="41"/>
    <w:p>
      <w:pPr>
        <w:spacing w:after="0"/>
        <w:ind w:left="0"/>
        <w:jc w:val="both"/>
      </w:pPr>
      <w:r>
        <w:drawing>
          <wp:inline distT="0" distB="0" distL="0" distR="0">
            <wp:extent cx="143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где:</w:t>
      </w:r>
    </w:p>
    <w:bookmarkEnd w:id="42"/>
    <w:bookmarkStart w:name="z49" w:id="43"/>
    <w:p>
      <w:pPr>
        <w:spacing w:after="0"/>
        <w:ind w:left="0"/>
        <w:jc w:val="both"/>
      </w:pPr>
      <w:r>
        <w:rPr>
          <w:rFonts w:ascii="Times New Roman"/>
          <w:b w:val="false"/>
          <w:i w:val="false"/>
          <w:color w:val="000000"/>
          <w:sz w:val="28"/>
        </w:rPr>
        <w:t>
      CFC</w:t>
      </w:r>
      <w:r>
        <w:rPr>
          <w:rFonts w:ascii="Times New Roman"/>
          <w:b w:val="false"/>
          <w:i w:val="false"/>
          <w:color w:val="000000"/>
          <w:vertAlign w:val="superscript"/>
        </w:rPr>
        <w:t>n</w:t>
      </w:r>
      <w:r>
        <w:rPr>
          <w:rFonts w:ascii="Times New Roman"/>
          <w:b w:val="false"/>
          <w:i w:val="false"/>
          <w:color w:val="000000"/>
          <w:sz w:val="28"/>
        </w:rPr>
        <w:t xml:space="preserve"> - потребление основного капитала актива n;</w:t>
      </w:r>
    </w:p>
    <w:bookmarkEnd w:id="43"/>
    <w:bookmarkStart w:name="z50" w:id="44"/>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n</w:t>
      </w:r>
      <w:r>
        <w:rPr>
          <w:rFonts w:ascii="Times New Roman"/>
          <w:b w:val="false"/>
          <w:i w:val="false"/>
          <w:color w:val="000000"/>
          <w:sz w:val="28"/>
        </w:rPr>
        <w:t xml:space="preserve"> - среднегодовые запасы в текущих ценах актива n;</w:t>
      </w:r>
    </w:p>
    <w:bookmarkEnd w:id="44"/>
    <w:bookmarkStart w:name="z51" w:id="45"/>
    <w:p>
      <w:pPr>
        <w:spacing w:after="0"/>
        <w:ind w:left="0"/>
        <w:jc w:val="both"/>
      </w:pPr>
      <w:r>
        <w:rPr>
          <w:rFonts w:ascii="Times New Roman"/>
          <w:b w:val="false"/>
          <w:i w:val="false"/>
          <w:color w:val="000000"/>
          <w:sz w:val="28"/>
        </w:rPr>
        <w:t>
      lt</w:t>
      </w:r>
      <w:r>
        <w:rPr>
          <w:rFonts w:ascii="Times New Roman"/>
          <w:b w:val="false"/>
          <w:i w:val="false"/>
          <w:color w:val="000000"/>
          <w:vertAlign w:val="superscript"/>
        </w:rPr>
        <w:t>n</w:t>
      </w:r>
      <w:r>
        <w:rPr>
          <w:rFonts w:ascii="Times New Roman"/>
          <w:b w:val="false"/>
          <w:i w:val="false"/>
          <w:color w:val="000000"/>
          <w:sz w:val="28"/>
        </w:rPr>
        <w:t>срок службы актива n.</w:t>
      </w:r>
    </w:p>
    <w:bookmarkEnd w:id="45"/>
    <w:bookmarkStart w:name="z52" w:id="46"/>
    <w:p>
      <w:pPr>
        <w:spacing w:after="0"/>
        <w:ind w:left="0"/>
        <w:jc w:val="both"/>
      </w:pPr>
      <w:r>
        <w:rPr>
          <w:rFonts w:ascii="Times New Roman"/>
          <w:b w:val="false"/>
          <w:i w:val="false"/>
          <w:color w:val="000000"/>
          <w:sz w:val="28"/>
        </w:rPr>
        <w:t>
      17. Изменение запасов материальных оборотных средств, представляет собой сумму сырья и материалов, готовых продуктов, материальных оборотных средств военного назначения, товаров для перепродажи, незавершенного производства, незавершенного производства культивируемых биологических ресурсов и другого незавершенного производства. Алгоритм исчисления изменений запасов материальных оборотных средств рассчитывается согласно учету изменения запасов материальных оборотных средств.</w:t>
      </w:r>
    </w:p>
    <w:bookmarkEnd w:id="46"/>
    <w:bookmarkStart w:name="z53" w:id="47"/>
    <w:p>
      <w:pPr>
        <w:spacing w:after="0"/>
        <w:ind w:left="0"/>
        <w:jc w:val="both"/>
      </w:pPr>
      <w:r>
        <w:rPr>
          <w:rFonts w:ascii="Times New Roman"/>
          <w:b w:val="false"/>
          <w:i w:val="false"/>
          <w:color w:val="000000"/>
          <w:sz w:val="28"/>
        </w:rPr>
        <w:t xml:space="preserve">
      18. По операциям с непроизведенными активами и ценностями осуществляются экспериментальные расчеты, они не включаются в Счет в виду отсутствия всех необходимых данных. </w:t>
      </w:r>
    </w:p>
    <w:bookmarkEnd w:id="47"/>
    <w:bookmarkStart w:name="z54" w:id="48"/>
    <w:p>
      <w:pPr>
        <w:spacing w:after="0"/>
        <w:ind w:left="0"/>
        <w:jc w:val="both"/>
      </w:pPr>
      <w:r>
        <w:rPr>
          <w:rFonts w:ascii="Times New Roman"/>
          <w:b w:val="false"/>
          <w:i w:val="false"/>
          <w:color w:val="000000"/>
          <w:sz w:val="28"/>
        </w:rPr>
        <w:t>
      19. Капитальные трансферты являются значительными по величине и нерегулярными. При возникновении сомнения относительно отражения трансферта как текущего или как капитального, его отражают как текущий.</w:t>
      </w:r>
    </w:p>
    <w:bookmarkEnd w:id="48"/>
    <w:bookmarkStart w:name="z55" w:id="49"/>
    <w:p>
      <w:pPr>
        <w:spacing w:after="0"/>
        <w:ind w:left="0"/>
        <w:jc w:val="both"/>
      </w:pPr>
      <w:r>
        <w:rPr>
          <w:rFonts w:ascii="Times New Roman"/>
          <w:b w:val="false"/>
          <w:i w:val="false"/>
          <w:color w:val="000000"/>
          <w:sz w:val="28"/>
        </w:rPr>
        <w:t>
      20. Капитальные трансферты, подлежащие получению, являются результатом увеличения чистой стоимости капитала и отражаются на правой стороне счета получателя трансферта. Соответствующие значения капитальных трансфертов, подлежащих выплате, отражаются для плательщика также на правой стороне, но со знаком минус (они влекут уменьшение чистой стоимости капитала). Основные виды капитальных трансфертов состоят из налогов на капитал, инвестиционных грантов, других капитальных трансфертов.</w:t>
      </w:r>
    </w:p>
    <w:bookmarkEnd w:id="49"/>
    <w:bookmarkStart w:name="z56" w:id="50"/>
    <w:p>
      <w:pPr>
        <w:spacing w:after="0"/>
        <w:ind w:left="0"/>
        <w:jc w:val="both"/>
      </w:pPr>
      <w:r>
        <w:rPr>
          <w:rFonts w:ascii="Times New Roman"/>
          <w:b w:val="false"/>
          <w:i w:val="false"/>
          <w:color w:val="000000"/>
          <w:sz w:val="28"/>
        </w:rPr>
        <w:t>
      21. Источником данных по капитальным трансфертам являются общедоступные данные Платежного баланса Республики Казахстан и государственного бюджета, размещенные на официальных сайтах государственных органов.</w:t>
      </w:r>
    </w:p>
    <w:bookmarkEnd w:id="50"/>
    <w:bookmarkStart w:name="z57" w:id="51"/>
    <w:p>
      <w:pPr>
        <w:spacing w:after="0"/>
        <w:ind w:left="0"/>
        <w:jc w:val="both"/>
      </w:pPr>
      <w:r>
        <w:rPr>
          <w:rFonts w:ascii="Times New Roman"/>
          <w:b w:val="false"/>
          <w:i w:val="false"/>
          <w:color w:val="000000"/>
          <w:sz w:val="28"/>
        </w:rPr>
        <w:t>
      22. Чистое кредитование или чистое заимствование является балансирующей статьей счета операций с капиталом и является важным показателем для экономического анализа.</w:t>
      </w:r>
    </w:p>
    <w:bookmarkEnd w:id="51"/>
    <w:bookmarkStart w:name="z58" w:id="52"/>
    <w:p>
      <w:pPr>
        <w:spacing w:after="0"/>
        <w:ind w:left="0"/>
        <w:jc w:val="both"/>
      </w:pPr>
      <w:r>
        <w:rPr>
          <w:rFonts w:ascii="Times New Roman"/>
          <w:b w:val="false"/>
          <w:i w:val="false"/>
          <w:color w:val="000000"/>
          <w:sz w:val="28"/>
        </w:rPr>
        <w:t>
      23. Балансирующая статья Счета (далее – Статья) показывает стоимость ресурсов, которые предоставили для кредитования или заимствовали. Чистое кредитование показывает, в какой степени сумма сбережения и капитальных трансфертов фактически использована на финансирование приобретения нефинансовых активов и сколько пошло на кредитование остального мира. Если это чистое заимствование, то сумма сбережения и капитальных трансфертов является недостаточной для финансирования всего приобретения нефинансовых активов и заимствуется у остального мира.</w:t>
      </w:r>
    </w:p>
    <w:bookmarkEnd w:id="52"/>
    <w:bookmarkStart w:name="z59" w:id="53"/>
    <w:p>
      <w:pPr>
        <w:spacing w:after="0"/>
        <w:ind w:left="0"/>
        <w:jc w:val="both"/>
      </w:pPr>
      <w:r>
        <w:rPr>
          <w:rFonts w:ascii="Times New Roman"/>
          <w:b w:val="false"/>
          <w:i w:val="false"/>
          <w:color w:val="000000"/>
          <w:sz w:val="28"/>
        </w:rPr>
        <w:t>
      24. Статья переносится в финансовый счет. По чистому кредитованию и чистому заимствованию в счете операций с капиталом и в финансовом счете проходят расхождения, которые вызваны использованием разных источников данных. Основной задачей является снижение расхождений чистого кредитования/заимствования в счете операций с капиталом и финансовом счете.</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составлению</w:t>
            </w:r>
            <w:r>
              <w:br/>
            </w:r>
            <w:r>
              <w:rPr>
                <w:rFonts w:ascii="Times New Roman"/>
                <w:b w:val="false"/>
                <w:i w:val="false"/>
                <w:color w:val="000000"/>
                <w:sz w:val="20"/>
              </w:rPr>
              <w:t>счета операций с капиталом</w:t>
            </w:r>
          </w:p>
        </w:tc>
      </w:tr>
    </w:tbl>
    <w:bookmarkStart w:name="z61" w:id="54"/>
    <w:p>
      <w:pPr>
        <w:spacing w:after="0"/>
        <w:ind w:left="0"/>
        <w:jc w:val="left"/>
      </w:pPr>
      <w:r>
        <w:rPr>
          <w:rFonts w:ascii="Times New Roman"/>
          <w:b/>
          <w:i w:val="false"/>
          <w:color w:val="000000"/>
        </w:rPr>
        <w:t xml:space="preserve"> Структура счета операций с капиталом</w:t>
      </w:r>
    </w:p>
    <w:bookmarkEnd w:id="54"/>
    <w:bookmarkStart w:name="z62" w:id="55"/>
    <w:p>
      <w:pPr>
        <w:spacing w:after="0"/>
        <w:ind w:left="0"/>
        <w:jc w:val="both"/>
      </w:pPr>
      <w:r>
        <w:rPr>
          <w:rFonts w:ascii="Times New Roman"/>
          <w:b w:val="false"/>
          <w:i w:val="false"/>
          <w:color w:val="000000"/>
          <w:sz w:val="28"/>
        </w:rPr>
        <w:t>
      млн.тенге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992"/>
        <w:gridCol w:w="992"/>
        <w:gridCol w:w="992"/>
        <w:gridCol w:w="992"/>
        <w:gridCol w:w="992"/>
        <w:gridCol w:w="1970"/>
        <w:gridCol w:w="992"/>
        <w:gridCol w:w="992"/>
        <w:gridCol w:w="993"/>
        <w:gridCol w:w="993"/>
        <w:gridCol w:w="993"/>
        <w:gridCol w:w="2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Изменение в активах</w:t>
            </w:r>
          </w:p>
          <w:bookmarkEnd w:id="56"/>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и балансирующие статьи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 обязательствах и чистой стоимости капитала</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Итого</w:t>
            </w:r>
          </w:p>
          <w:bookmarkEnd w:id="57"/>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сбережение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полученные от ''остального мира''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переданные ''остальному миру''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 основного капитала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основного капитала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запасов материальных оборотных средств</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ценностей за вычетом выбытия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непроизведенных активов за вычетом выбытия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 чистое заимствование(-)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Статистическое расхождение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8"/>
    <w:p>
      <w:pPr>
        <w:spacing w:after="0"/>
        <w:ind w:left="0"/>
        <w:jc w:val="both"/>
      </w:pPr>
      <w:r>
        <w:rPr>
          <w:rFonts w:ascii="Times New Roman"/>
          <w:b w:val="false"/>
          <w:i w:val="false"/>
          <w:color w:val="000000"/>
          <w:sz w:val="28"/>
        </w:rPr>
        <w:t>
      Примечание:</w:t>
      </w:r>
    </w:p>
    <w:bookmarkEnd w:id="58"/>
    <w:bookmarkStart w:name="z80" w:id="59"/>
    <w:p>
      <w:pPr>
        <w:spacing w:after="0"/>
        <w:ind w:left="0"/>
        <w:jc w:val="both"/>
      </w:pPr>
      <w:r>
        <w:rPr>
          <w:rFonts w:ascii="Times New Roman"/>
          <w:b w:val="false"/>
          <w:i w:val="false"/>
          <w:color w:val="000000"/>
          <w:sz w:val="28"/>
        </w:rPr>
        <w:t>
      S11 – нефинансовые корпорации; S12 – финансовые корпорации; S13 – государственное управление; S14 – домашние хозяйства; S15 – некоммерческие организации, обслуживающие домашние хозяйства.</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