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9f91" w14:textId="f059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26 марта 2015 года № 342 "Об утверждении допустимых параметров автотранспортных средств, предназначенных для передвижения по автомобильным дорогам Республики Казахстан"</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4 ноября 2016 года № 761. Зарегистрирован в Министерстве юстиции Республики Казахстан 28 декабря 2016 года № 14614.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342 "Об утверждении допустимых параметров автотранспортных средств, предназначенных для передвижения по автомобильным дорогам Республики Казахстан" (зарегистрированный в Реестре государственной регистрации нормативных правовых актов за № 11009, опубликованный 15 мая 2015 года в Информационно-правовой системе "Әділет")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допустимых параметрах</w:t>
      </w:r>
      <w:r>
        <w:rPr>
          <w:rFonts w:ascii="Times New Roman"/>
          <w:b w:val="false"/>
          <w:i w:val="false"/>
          <w:color w:val="000000"/>
          <w:sz w:val="28"/>
        </w:rPr>
        <w:t xml:space="preserve"> автотранспортных средств, предназначенных для передвижения по автомобильным дорогам Республики Казахстан, утвержденных указанным приказом:</w:t>
      </w:r>
    </w:p>
    <w:bookmarkEnd w:id="2"/>
    <w:bookmarkStart w:name="z4" w:id="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"1) допустимая длина:</w:t>
      </w:r>
    </w:p>
    <w:p>
      <w:pPr>
        <w:spacing w:after="0"/>
        <w:ind w:left="0"/>
        <w:jc w:val="both"/>
      </w:pPr>
      <w:r>
        <w:rPr>
          <w:rFonts w:ascii="Times New Roman"/>
          <w:b w:val="false"/>
          <w:i w:val="false"/>
          <w:color w:val="000000"/>
          <w:sz w:val="28"/>
        </w:rPr>
        <w:t>
      одиночные автотранспортные средства:</w:t>
      </w:r>
    </w:p>
    <w:p>
      <w:pPr>
        <w:spacing w:after="0"/>
        <w:ind w:left="0"/>
        <w:jc w:val="both"/>
      </w:pPr>
      <w:r>
        <w:rPr>
          <w:rFonts w:ascii="Times New Roman"/>
          <w:b w:val="false"/>
          <w:i w:val="false"/>
          <w:color w:val="000000"/>
          <w:sz w:val="28"/>
        </w:rPr>
        <w:t>
            категорий М</w:t>
      </w:r>
      <w:r>
        <w:rPr>
          <w:rFonts w:ascii="Times New Roman"/>
          <w:b w:val="false"/>
          <w:i w:val="false"/>
          <w:color w:val="000000"/>
          <w:vertAlign w:val="subscript"/>
        </w:rPr>
        <w:t>1</w:t>
      </w:r>
      <w:r>
        <w:rPr>
          <w:rFonts w:ascii="Times New Roman"/>
          <w:b w:val="false"/>
          <w:i w:val="false"/>
          <w:color w:val="000000"/>
          <w:sz w:val="28"/>
        </w:rPr>
        <w:t>, N и О (прицепа)                             12,0;</w:t>
      </w:r>
    </w:p>
    <w:p>
      <w:pPr>
        <w:spacing w:after="0"/>
        <w:ind w:left="0"/>
        <w:jc w:val="both"/>
      </w:pPr>
      <w:r>
        <w:rPr>
          <w:rFonts w:ascii="Times New Roman"/>
          <w:b w:val="false"/>
          <w:i w:val="false"/>
          <w:color w:val="000000"/>
          <w:sz w:val="28"/>
        </w:rPr>
        <w:t>
            категорий М</w:t>
      </w:r>
      <w:r>
        <w:rPr>
          <w:rFonts w:ascii="Times New Roman"/>
          <w:b w:val="false"/>
          <w:i w:val="false"/>
          <w:color w:val="000000"/>
          <w:vertAlign w:val="subscript"/>
        </w:rPr>
        <w:t>2</w:t>
      </w:r>
      <w:r>
        <w:rPr>
          <w:rFonts w:ascii="Times New Roman"/>
          <w:b w:val="false"/>
          <w:i w:val="false"/>
          <w:color w:val="000000"/>
          <w:sz w:val="28"/>
        </w:rPr>
        <w:t xml:space="preserve"> и М</w:t>
      </w:r>
      <w:r>
        <w:rPr>
          <w:rFonts w:ascii="Times New Roman"/>
          <w:b w:val="false"/>
          <w:i w:val="false"/>
          <w:color w:val="000000"/>
          <w:vertAlign w:val="subscript"/>
        </w:rPr>
        <w:t xml:space="preserve">3                                         </w:t>
      </w:r>
      <w:r>
        <w:rPr>
          <w:rFonts w:ascii="Times New Roman"/>
          <w:b w:val="false"/>
          <w:i w:val="false"/>
          <w:color w:val="000000"/>
          <w:sz w:val="28"/>
        </w:rPr>
        <w:t>13,5;</w:t>
      </w:r>
    </w:p>
    <w:p>
      <w:pPr>
        <w:spacing w:after="0"/>
        <w:ind w:left="0"/>
        <w:jc w:val="both"/>
      </w:pPr>
      <w:r>
        <w:rPr>
          <w:rFonts w:ascii="Times New Roman"/>
          <w:b w:val="false"/>
          <w:i w:val="false"/>
          <w:color w:val="000000"/>
          <w:sz w:val="28"/>
        </w:rPr>
        <w:t>
            категорий М</w:t>
      </w:r>
      <w:r>
        <w:rPr>
          <w:rFonts w:ascii="Times New Roman"/>
          <w:b w:val="false"/>
          <w:i w:val="false"/>
          <w:color w:val="000000"/>
          <w:vertAlign w:val="subscript"/>
        </w:rPr>
        <w:t>2</w:t>
      </w:r>
      <w:r>
        <w:rPr>
          <w:rFonts w:ascii="Times New Roman"/>
          <w:b w:val="false"/>
          <w:i w:val="false"/>
          <w:color w:val="000000"/>
          <w:sz w:val="28"/>
        </w:rPr>
        <w:t xml:space="preserve"> и М</w:t>
      </w:r>
      <w:r>
        <w:rPr>
          <w:rFonts w:ascii="Times New Roman"/>
          <w:b w:val="false"/>
          <w:i w:val="false"/>
          <w:color w:val="000000"/>
          <w:vertAlign w:val="subscript"/>
        </w:rPr>
        <w:t>3</w:t>
      </w:r>
      <w:r>
        <w:rPr>
          <w:rFonts w:ascii="Times New Roman"/>
          <w:b w:val="false"/>
          <w:i w:val="false"/>
          <w:color w:val="000000"/>
          <w:sz w:val="28"/>
        </w:rPr>
        <w:t xml:space="preserve"> с более двумя осями                     15,0;</w:t>
      </w:r>
    </w:p>
    <w:p>
      <w:pPr>
        <w:spacing w:after="0"/>
        <w:ind w:left="0"/>
        <w:jc w:val="both"/>
      </w:pPr>
      <w:r>
        <w:rPr>
          <w:rFonts w:ascii="Times New Roman"/>
          <w:b w:val="false"/>
          <w:i w:val="false"/>
          <w:color w:val="000000"/>
          <w:sz w:val="28"/>
        </w:rPr>
        <w:t>
            категорий М</w:t>
      </w:r>
      <w:r>
        <w:rPr>
          <w:rFonts w:ascii="Times New Roman"/>
          <w:b w:val="false"/>
          <w:i w:val="false"/>
          <w:color w:val="000000"/>
          <w:vertAlign w:val="subscript"/>
        </w:rPr>
        <w:t>2</w:t>
      </w:r>
      <w:r>
        <w:rPr>
          <w:rFonts w:ascii="Times New Roman"/>
          <w:b w:val="false"/>
          <w:i w:val="false"/>
          <w:color w:val="000000"/>
          <w:sz w:val="28"/>
        </w:rPr>
        <w:t xml:space="preserve"> и М</w:t>
      </w:r>
      <w:r>
        <w:rPr>
          <w:rFonts w:ascii="Times New Roman"/>
          <w:b w:val="false"/>
          <w:i w:val="false"/>
          <w:color w:val="000000"/>
          <w:vertAlign w:val="subscript"/>
        </w:rPr>
        <w:t>3</w:t>
      </w:r>
      <w:r>
        <w:rPr>
          <w:rFonts w:ascii="Times New Roman"/>
          <w:b w:val="false"/>
          <w:i w:val="false"/>
          <w:color w:val="000000"/>
          <w:sz w:val="28"/>
        </w:rPr>
        <w:t xml:space="preserve"> с прицепом                             18,75;</w:t>
      </w:r>
    </w:p>
    <w:p>
      <w:pPr>
        <w:spacing w:after="0"/>
        <w:ind w:left="0"/>
        <w:jc w:val="both"/>
      </w:pPr>
      <w:r>
        <w:rPr>
          <w:rFonts w:ascii="Times New Roman"/>
          <w:b w:val="false"/>
          <w:i w:val="false"/>
          <w:color w:val="000000"/>
          <w:sz w:val="28"/>
        </w:rPr>
        <w:t>
            сочлененных автобусов категорий М</w:t>
      </w:r>
      <w:r>
        <w:rPr>
          <w:rFonts w:ascii="Times New Roman"/>
          <w:b w:val="false"/>
          <w:i w:val="false"/>
          <w:color w:val="000000"/>
          <w:vertAlign w:val="subscript"/>
        </w:rPr>
        <w:t>2</w:t>
      </w:r>
      <w:r>
        <w:rPr>
          <w:rFonts w:ascii="Times New Roman"/>
          <w:b w:val="false"/>
          <w:i w:val="false"/>
          <w:color w:val="000000"/>
          <w:sz w:val="28"/>
        </w:rPr>
        <w:t xml:space="preserve"> и М</w:t>
      </w:r>
      <w:r>
        <w:rPr>
          <w:rFonts w:ascii="Times New Roman"/>
          <w:b w:val="false"/>
          <w:i w:val="false"/>
          <w:color w:val="000000"/>
          <w:vertAlign w:val="subscript"/>
        </w:rPr>
        <w:t xml:space="preserve">3                  </w:t>
      </w:r>
      <w:r>
        <w:rPr>
          <w:rFonts w:ascii="Times New Roman"/>
          <w:b w:val="false"/>
          <w:i w:val="false"/>
          <w:color w:val="000000"/>
          <w:sz w:val="28"/>
        </w:rPr>
        <w:t>18,75;</w:t>
      </w:r>
    </w:p>
    <w:p>
      <w:pPr>
        <w:spacing w:after="0"/>
        <w:ind w:left="0"/>
        <w:jc w:val="both"/>
      </w:pPr>
      <w:r>
        <w:rPr>
          <w:rFonts w:ascii="Times New Roman"/>
          <w:b w:val="false"/>
          <w:i w:val="false"/>
          <w:color w:val="000000"/>
          <w:sz w:val="28"/>
        </w:rPr>
        <w:t>
            автопоезда в составе тягача и полуприцепа                 16,5;</w:t>
      </w:r>
    </w:p>
    <w:p>
      <w:pPr>
        <w:spacing w:after="0"/>
        <w:ind w:left="0"/>
        <w:jc w:val="both"/>
      </w:pPr>
      <w:r>
        <w:rPr>
          <w:rFonts w:ascii="Times New Roman"/>
          <w:b w:val="false"/>
          <w:i w:val="false"/>
          <w:color w:val="000000"/>
          <w:sz w:val="28"/>
        </w:rPr>
        <w:t>
            автопоезда в составе тягача и прицепа                     20,0;</w:t>
      </w:r>
    </w:p>
    <w:p>
      <w:pPr>
        <w:spacing w:after="0"/>
        <w:ind w:left="0"/>
        <w:jc w:val="both"/>
      </w:pPr>
      <w:r>
        <w:rPr>
          <w:rFonts w:ascii="Times New Roman"/>
          <w:b w:val="false"/>
          <w:i w:val="false"/>
          <w:color w:val="000000"/>
          <w:sz w:val="28"/>
        </w:rPr>
        <w:t>
      автопоезда, по конструкции и назначению специально предназначенного для перевозки крупногабаритных и (или) тяжеловесных грузов                                                        20,0;";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Допустимое расстояние между осью запора сцепного устройства полуприцепа и задней частью автопоезда не должно превышать 12,0 метров.</w:t>
      </w:r>
    </w:p>
    <w:p>
      <w:pPr>
        <w:spacing w:after="0"/>
        <w:ind w:left="0"/>
        <w:jc w:val="both"/>
      </w:pPr>
      <w:r>
        <w:rPr>
          <w:rFonts w:ascii="Times New Roman"/>
          <w:b w:val="false"/>
          <w:i w:val="false"/>
          <w:color w:val="000000"/>
          <w:sz w:val="28"/>
        </w:rPr>
        <w:t>
      5. Допустимое расстояние от внешней передней точки кузова или платформы тягача для установки груза за кабиной до задней внешней точки прицепа не должно превышать 17 метров, за вычетом расстояния между задней частью тягача и передней частью прицепа, которое составляет не менее 0,6 метра.</w:t>
      </w:r>
    </w:p>
    <w:p>
      <w:pPr>
        <w:spacing w:after="0"/>
        <w:ind w:left="0"/>
        <w:jc w:val="both"/>
      </w:pPr>
      <w:r>
        <w:rPr>
          <w:rFonts w:ascii="Times New Roman"/>
          <w:b w:val="false"/>
          <w:i w:val="false"/>
          <w:color w:val="000000"/>
          <w:sz w:val="28"/>
        </w:rPr>
        <w:t>
      6. Допустимое расстояние, измеренное параллельно продольной оси автопоезда, от внешней передней точки кузова или платформы для установки груза за кабиной до задней внешней точки полуприцепа не должно превышать 16,4 метра.";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При измерении длины автотранспортного средства не учитываются следующие устройства, смонтированные на автотранспортном средстве:</w:t>
      </w:r>
    </w:p>
    <w:p>
      <w:pPr>
        <w:spacing w:after="0"/>
        <w:ind w:left="0"/>
        <w:jc w:val="both"/>
      </w:pPr>
      <w:r>
        <w:rPr>
          <w:rFonts w:ascii="Times New Roman"/>
          <w:b w:val="false"/>
          <w:i w:val="false"/>
          <w:color w:val="000000"/>
          <w:sz w:val="28"/>
        </w:rPr>
        <w:t>
      устройства очистки и омывания ветрового стекла;</w:t>
      </w:r>
    </w:p>
    <w:p>
      <w:pPr>
        <w:spacing w:after="0"/>
        <w:ind w:left="0"/>
        <w:jc w:val="both"/>
      </w:pPr>
      <w:r>
        <w:rPr>
          <w:rFonts w:ascii="Times New Roman"/>
          <w:b w:val="false"/>
          <w:i w:val="false"/>
          <w:color w:val="000000"/>
          <w:sz w:val="28"/>
        </w:rPr>
        <w:t>
      таблички переднего и заднего регистрационных знаков и конструктивные элементы для установки государственных регистрационных знаков;</w:t>
      </w:r>
    </w:p>
    <w:p>
      <w:pPr>
        <w:spacing w:after="0"/>
        <w:ind w:left="0"/>
        <w:jc w:val="both"/>
      </w:pPr>
      <w:r>
        <w:rPr>
          <w:rFonts w:ascii="Times New Roman"/>
          <w:b w:val="false"/>
          <w:i w:val="false"/>
          <w:color w:val="000000"/>
          <w:sz w:val="28"/>
        </w:rPr>
        <w:t>
      таможенная пломбировка и элементы ее защиты;</w:t>
      </w:r>
    </w:p>
    <w:p>
      <w:pPr>
        <w:spacing w:after="0"/>
        <w:ind w:left="0"/>
        <w:jc w:val="both"/>
      </w:pPr>
      <w:r>
        <w:rPr>
          <w:rFonts w:ascii="Times New Roman"/>
          <w:b w:val="false"/>
          <w:i w:val="false"/>
          <w:color w:val="000000"/>
          <w:sz w:val="28"/>
        </w:rPr>
        <w:t>
      устройства крепления тента и элементы их защиты;</w:t>
      </w:r>
    </w:p>
    <w:p>
      <w:pPr>
        <w:spacing w:after="0"/>
        <w:ind w:left="0"/>
        <w:jc w:val="both"/>
      </w:pPr>
      <w:r>
        <w:rPr>
          <w:rFonts w:ascii="Times New Roman"/>
          <w:b w:val="false"/>
          <w:i w:val="false"/>
          <w:color w:val="000000"/>
          <w:sz w:val="28"/>
        </w:rPr>
        <w:t>
      устройства освещения и световой сигнализации;</w:t>
      </w:r>
    </w:p>
    <w:p>
      <w:pPr>
        <w:spacing w:after="0"/>
        <w:ind w:left="0"/>
        <w:jc w:val="both"/>
      </w:pPr>
      <w:r>
        <w:rPr>
          <w:rFonts w:ascii="Times New Roman"/>
          <w:b w:val="false"/>
          <w:i w:val="false"/>
          <w:color w:val="000000"/>
          <w:sz w:val="28"/>
        </w:rPr>
        <w:t>
      наружные зеркала и другие устройства непрямой обзорности;</w:t>
      </w:r>
    </w:p>
    <w:p>
      <w:pPr>
        <w:spacing w:after="0"/>
        <w:ind w:left="0"/>
        <w:jc w:val="both"/>
      </w:pPr>
      <w:r>
        <w:rPr>
          <w:rFonts w:ascii="Times New Roman"/>
          <w:b w:val="false"/>
          <w:i w:val="false"/>
          <w:color w:val="000000"/>
          <w:sz w:val="28"/>
        </w:rPr>
        <w:t>
      вспомогательные средства наблюдения;</w:t>
      </w:r>
    </w:p>
    <w:p>
      <w:pPr>
        <w:spacing w:after="0"/>
        <w:ind w:left="0"/>
        <w:jc w:val="both"/>
      </w:pPr>
      <w:r>
        <w:rPr>
          <w:rFonts w:ascii="Times New Roman"/>
          <w:b w:val="false"/>
          <w:i w:val="false"/>
          <w:color w:val="000000"/>
          <w:sz w:val="28"/>
        </w:rPr>
        <w:t>
      устройства забора воздуха во впускную систему двигателя внутреннего сгорания;</w:t>
      </w:r>
    </w:p>
    <w:p>
      <w:pPr>
        <w:spacing w:after="0"/>
        <w:ind w:left="0"/>
        <w:jc w:val="both"/>
      </w:pPr>
      <w:r>
        <w:rPr>
          <w:rFonts w:ascii="Times New Roman"/>
          <w:b w:val="false"/>
          <w:i w:val="false"/>
          <w:color w:val="000000"/>
          <w:sz w:val="28"/>
        </w:rPr>
        <w:t>
      стопорные устройства для демонтируемых кузовов;</w:t>
      </w:r>
    </w:p>
    <w:p>
      <w:pPr>
        <w:spacing w:after="0"/>
        <w:ind w:left="0"/>
        <w:jc w:val="both"/>
      </w:pPr>
      <w:r>
        <w:rPr>
          <w:rFonts w:ascii="Times New Roman"/>
          <w:b w:val="false"/>
          <w:i w:val="false"/>
          <w:color w:val="000000"/>
          <w:sz w:val="28"/>
        </w:rPr>
        <w:t>
      подножки и поручни;</w:t>
      </w:r>
    </w:p>
    <w:p>
      <w:pPr>
        <w:spacing w:after="0"/>
        <w:ind w:left="0"/>
        <w:jc w:val="both"/>
      </w:pPr>
      <w:r>
        <w:rPr>
          <w:rFonts w:ascii="Times New Roman"/>
          <w:b w:val="false"/>
          <w:i w:val="false"/>
          <w:color w:val="000000"/>
          <w:sz w:val="28"/>
        </w:rPr>
        <w:t>
      эластичные буферные устройства или аналогичное оборудование;</w:t>
      </w:r>
    </w:p>
    <w:p>
      <w:pPr>
        <w:spacing w:after="0"/>
        <w:ind w:left="0"/>
        <w:jc w:val="both"/>
      </w:pPr>
      <w:r>
        <w:rPr>
          <w:rFonts w:ascii="Times New Roman"/>
          <w:b w:val="false"/>
          <w:i w:val="false"/>
          <w:color w:val="000000"/>
          <w:sz w:val="28"/>
        </w:rPr>
        <w:t>
      подъемные платформы, рампы и аналогичное оборудование в положении для движения, не увеличивающие габаритные размеры более чем на 300 миллиметров при условии, что грузоподъемность транспортного средства не увеличена;</w:t>
      </w:r>
    </w:p>
    <w:p>
      <w:pPr>
        <w:spacing w:after="0"/>
        <w:ind w:left="0"/>
        <w:jc w:val="both"/>
      </w:pPr>
      <w:r>
        <w:rPr>
          <w:rFonts w:ascii="Times New Roman"/>
          <w:b w:val="false"/>
          <w:i w:val="false"/>
          <w:color w:val="000000"/>
          <w:sz w:val="28"/>
        </w:rPr>
        <w:t>
      сцепные и буксирные устройства транспортных средств;</w:t>
      </w:r>
    </w:p>
    <w:p>
      <w:pPr>
        <w:spacing w:after="0"/>
        <w:ind w:left="0"/>
        <w:jc w:val="both"/>
      </w:pPr>
      <w:r>
        <w:rPr>
          <w:rFonts w:ascii="Times New Roman"/>
          <w:b w:val="false"/>
          <w:i w:val="false"/>
          <w:color w:val="000000"/>
          <w:sz w:val="28"/>
        </w:rPr>
        <w:t>
      трубы выпускной системы;</w:t>
      </w:r>
    </w:p>
    <w:p>
      <w:pPr>
        <w:spacing w:after="0"/>
        <w:ind w:left="0"/>
        <w:jc w:val="both"/>
      </w:pPr>
      <w:r>
        <w:rPr>
          <w:rFonts w:ascii="Times New Roman"/>
          <w:b w:val="false"/>
          <w:i w:val="false"/>
          <w:color w:val="000000"/>
          <w:sz w:val="28"/>
        </w:rPr>
        <w:t>
      съемные спойлеры;</w:t>
      </w:r>
    </w:p>
    <w:p>
      <w:pPr>
        <w:spacing w:after="0"/>
        <w:ind w:left="0"/>
        <w:jc w:val="both"/>
      </w:pPr>
      <w:r>
        <w:rPr>
          <w:rFonts w:ascii="Times New Roman"/>
          <w:b w:val="false"/>
          <w:i w:val="false"/>
          <w:color w:val="000000"/>
          <w:sz w:val="28"/>
        </w:rPr>
        <w:t>
      токоприемники транспортных средств с электропитанием от сети;</w:t>
      </w:r>
    </w:p>
    <w:p>
      <w:pPr>
        <w:spacing w:after="0"/>
        <w:ind w:left="0"/>
        <w:jc w:val="both"/>
      </w:pPr>
      <w:r>
        <w:rPr>
          <w:rFonts w:ascii="Times New Roman"/>
          <w:b w:val="false"/>
          <w:i w:val="false"/>
          <w:color w:val="000000"/>
          <w:sz w:val="28"/>
        </w:rPr>
        <w:t>
      наружные солнцезащитные козырьки.</w:t>
      </w:r>
    </w:p>
    <w:p>
      <w:pPr>
        <w:spacing w:after="0"/>
        <w:ind w:left="0"/>
        <w:jc w:val="both"/>
      </w:pPr>
      <w:r>
        <w:rPr>
          <w:rFonts w:ascii="Times New Roman"/>
          <w:b w:val="false"/>
          <w:i w:val="false"/>
          <w:color w:val="000000"/>
          <w:sz w:val="28"/>
        </w:rPr>
        <w:t>
      11. При измерении высоты автотранспортного средства не должны учитываться смонтированные на транспортном средстве:</w:t>
      </w:r>
    </w:p>
    <w:p>
      <w:pPr>
        <w:spacing w:after="0"/>
        <w:ind w:left="0"/>
        <w:jc w:val="both"/>
      </w:pPr>
      <w:r>
        <w:rPr>
          <w:rFonts w:ascii="Times New Roman"/>
          <w:b w:val="false"/>
          <w:i w:val="false"/>
          <w:color w:val="000000"/>
          <w:sz w:val="28"/>
        </w:rPr>
        <w:t>
      антенны;</w:t>
      </w:r>
    </w:p>
    <w:p>
      <w:pPr>
        <w:spacing w:after="0"/>
        <w:ind w:left="0"/>
        <w:jc w:val="both"/>
      </w:pPr>
      <w:r>
        <w:rPr>
          <w:rFonts w:ascii="Times New Roman"/>
          <w:b w:val="false"/>
          <w:i w:val="false"/>
          <w:color w:val="000000"/>
          <w:sz w:val="28"/>
        </w:rPr>
        <w:t>
      пантограф или токоприемники в поднятом положении.</w:t>
      </w:r>
    </w:p>
    <w:p>
      <w:pPr>
        <w:spacing w:after="0"/>
        <w:ind w:left="0"/>
        <w:jc w:val="both"/>
      </w:pPr>
      <w:r>
        <w:rPr>
          <w:rFonts w:ascii="Times New Roman"/>
          <w:b w:val="false"/>
          <w:i w:val="false"/>
          <w:color w:val="000000"/>
          <w:sz w:val="28"/>
        </w:rPr>
        <w:t>
      Для автотранспортных средств, имеющих устройство для подъема оси, учитываться эффект от воздействия этого устройства.</w:t>
      </w:r>
    </w:p>
    <w:p>
      <w:pPr>
        <w:spacing w:after="0"/>
        <w:ind w:left="0"/>
        <w:jc w:val="both"/>
      </w:pPr>
      <w:r>
        <w:rPr>
          <w:rFonts w:ascii="Times New Roman"/>
          <w:b w:val="false"/>
          <w:i w:val="false"/>
          <w:color w:val="000000"/>
          <w:sz w:val="28"/>
        </w:rPr>
        <w:t>
      12. При измерении ширины транспортного средства не учитываются следующие устройства, смонтированные на автотранспортном средстве:</w:t>
      </w:r>
    </w:p>
    <w:p>
      <w:pPr>
        <w:spacing w:after="0"/>
        <w:ind w:left="0"/>
        <w:jc w:val="both"/>
      </w:pPr>
      <w:r>
        <w:rPr>
          <w:rFonts w:ascii="Times New Roman"/>
          <w:b w:val="false"/>
          <w:i w:val="false"/>
          <w:color w:val="000000"/>
          <w:sz w:val="28"/>
        </w:rPr>
        <w:t>
      таможенная пломбировка и элементы ее защиты;</w:t>
      </w:r>
    </w:p>
    <w:p>
      <w:pPr>
        <w:spacing w:after="0"/>
        <w:ind w:left="0"/>
        <w:jc w:val="both"/>
      </w:pPr>
      <w:r>
        <w:rPr>
          <w:rFonts w:ascii="Times New Roman"/>
          <w:b w:val="false"/>
          <w:i w:val="false"/>
          <w:color w:val="000000"/>
          <w:sz w:val="28"/>
        </w:rPr>
        <w:t>
      устройства крепления тента и элементы их защиты;</w:t>
      </w:r>
    </w:p>
    <w:p>
      <w:pPr>
        <w:spacing w:after="0"/>
        <w:ind w:left="0"/>
        <w:jc w:val="both"/>
      </w:pPr>
      <w:r>
        <w:rPr>
          <w:rFonts w:ascii="Times New Roman"/>
          <w:b w:val="false"/>
          <w:i w:val="false"/>
          <w:color w:val="000000"/>
          <w:sz w:val="28"/>
        </w:rPr>
        <w:t>
      устройства контроля давления в шинах;</w:t>
      </w:r>
    </w:p>
    <w:p>
      <w:pPr>
        <w:spacing w:after="0"/>
        <w:ind w:left="0"/>
        <w:jc w:val="both"/>
      </w:pPr>
      <w:r>
        <w:rPr>
          <w:rFonts w:ascii="Times New Roman"/>
          <w:b w:val="false"/>
          <w:i w:val="false"/>
          <w:color w:val="000000"/>
          <w:sz w:val="28"/>
        </w:rPr>
        <w:t>
      выступающие гибкие части для защиты от разбрызгивания из-под колес;</w:t>
      </w:r>
    </w:p>
    <w:p>
      <w:pPr>
        <w:spacing w:after="0"/>
        <w:ind w:left="0"/>
        <w:jc w:val="both"/>
      </w:pPr>
      <w:r>
        <w:rPr>
          <w:rFonts w:ascii="Times New Roman"/>
          <w:b w:val="false"/>
          <w:i w:val="false"/>
          <w:color w:val="000000"/>
          <w:sz w:val="28"/>
        </w:rPr>
        <w:t>
      для автотранспортных средств категории М</w:t>
      </w:r>
      <w:r>
        <w:rPr>
          <w:rFonts w:ascii="Times New Roman"/>
          <w:b w:val="false"/>
          <w:i w:val="false"/>
          <w:color w:val="000000"/>
          <w:vertAlign w:val="subscript"/>
        </w:rPr>
        <w:t>3</w:t>
      </w:r>
      <w:r>
        <w:rPr>
          <w:rFonts w:ascii="Times New Roman"/>
          <w:b w:val="false"/>
          <w:i w:val="false"/>
          <w:color w:val="000000"/>
          <w:sz w:val="28"/>
        </w:rPr>
        <w:t xml:space="preserve"> входные рампы  в положении для движения, подъемные платформы и аналогичное оборудование в положении для движения при условии, что эти устройства не выступают более чем на 10 миллиметров за боковую поверхность автотранспортного средства и угловые кромки рамп, направленные вперед и назад, имеют радиусы закруглений не менее 5 миллиметров; радиусы закруглений остальных кромок должны при этом быть не менее 2,5 миллиметров;</w:t>
      </w:r>
    </w:p>
    <w:p>
      <w:pPr>
        <w:spacing w:after="0"/>
        <w:ind w:left="0"/>
        <w:jc w:val="both"/>
      </w:pPr>
      <w:r>
        <w:rPr>
          <w:rFonts w:ascii="Times New Roman"/>
          <w:b w:val="false"/>
          <w:i w:val="false"/>
          <w:color w:val="000000"/>
          <w:sz w:val="28"/>
        </w:rPr>
        <w:t>
      наружные зеркала и другие устройства непрямой обзорности;</w:t>
      </w:r>
    </w:p>
    <w:p>
      <w:pPr>
        <w:spacing w:after="0"/>
        <w:ind w:left="0"/>
        <w:jc w:val="both"/>
      </w:pPr>
      <w:r>
        <w:rPr>
          <w:rFonts w:ascii="Times New Roman"/>
          <w:b w:val="false"/>
          <w:i w:val="false"/>
          <w:color w:val="000000"/>
          <w:sz w:val="28"/>
        </w:rPr>
        <w:t>
      вспомогательные средства наблюдения;</w:t>
      </w:r>
    </w:p>
    <w:p>
      <w:pPr>
        <w:spacing w:after="0"/>
        <w:ind w:left="0"/>
        <w:jc w:val="both"/>
      </w:pPr>
      <w:r>
        <w:rPr>
          <w:rFonts w:ascii="Times New Roman"/>
          <w:b w:val="false"/>
          <w:i w:val="false"/>
          <w:color w:val="000000"/>
          <w:sz w:val="28"/>
        </w:rPr>
        <w:t>
      убирающиеся подножки;</w:t>
      </w:r>
    </w:p>
    <w:p>
      <w:pPr>
        <w:spacing w:after="0"/>
        <w:ind w:left="0"/>
        <w:jc w:val="both"/>
      </w:pPr>
      <w:r>
        <w:rPr>
          <w:rFonts w:ascii="Times New Roman"/>
          <w:b w:val="false"/>
          <w:i w:val="false"/>
          <w:color w:val="000000"/>
          <w:sz w:val="28"/>
        </w:rPr>
        <w:t>
      устройства освещения и световой сигнализации;</w:t>
      </w:r>
    </w:p>
    <w:p>
      <w:pPr>
        <w:spacing w:after="0"/>
        <w:ind w:left="0"/>
        <w:jc w:val="both"/>
      </w:pPr>
      <w:r>
        <w:rPr>
          <w:rFonts w:ascii="Times New Roman"/>
          <w:b w:val="false"/>
          <w:i w:val="false"/>
          <w:color w:val="000000"/>
          <w:sz w:val="28"/>
        </w:rPr>
        <w:t>
      деформирующаяся часть боковых стенок шин непосредственно над точкой соприкосновения с поверхностью.</w:t>
      </w:r>
    </w:p>
    <w:p>
      <w:pPr>
        <w:spacing w:after="0"/>
        <w:ind w:left="0"/>
        <w:jc w:val="both"/>
      </w:pPr>
      <w:r>
        <w:rPr>
          <w:rFonts w:ascii="Times New Roman"/>
          <w:b w:val="false"/>
          <w:i w:val="false"/>
          <w:color w:val="000000"/>
          <w:sz w:val="28"/>
        </w:rPr>
        <w:t>
      13. Допустимая масса автотранспортных средств не должна превышать приведенные ниже значения (в тоннах):</w:t>
      </w:r>
    </w:p>
    <w:p>
      <w:pPr>
        <w:spacing w:after="0"/>
        <w:ind w:left="0"/>
        <w:jc w:val="both"/>
      </w:pPr>
      <w:r>
        <w:rPr>
          <w:rFonts w:ascii="Times New Roman"/>
          <w:b w:val="false"/>
          <w:i w:val="false"/>
          <w:color w:val="000000"/>
          <w:sz w:val="28"/>
        </w:rPr>
        <w:t>
      1) одиночные автотранспортные средства:</w:t>
      </w:r>
    </w:p>
    <w:p>
      <w:pPr>
        <w:spacing w:after="0"/>
        <w:ind w:left="0"/>
        <w:jc w:val="both"/>
      </w:pPr>
      <w:r>
        <w:rPr>
          <w:rFonts w:ascii="Times New Roman"/>
          <w:b w:val="false"/>
          <w:i w:val="false"/>
          <w:color w:val="000000"/>
          <w:sz w:val="28"/>
        </w:rPr>
        <w:t>
      категорий М, N и О (прицеп):</w:t>
      </w:r>
    </w:p>
    <w:p>
      <w:pPr>
        <w:spacing w:after="0"/>
        <w:ind w:left="0"/>
        <w:jc w:val="both"/>
      </w:pPr>
      <w:r>
        <w:rPr>
          <w:rFonts w:ascii="Times New Roman"/>
          <w:b w:val="false"/>
          <w:i w:val="false"/>
          <w:color w:val="000000"/>
          <w:sz w:val="28"/>
        </w:rPr>
        <w:t>
            двухосные                                                 18,0;</w:t>
      </w:r>
    </w:p>
    <w:p>
      <w:pPr>
        <w:spacing w:after="0"/>
        <w:ind w:left="0"/>
        <w:jc w:val="both"/>
      </w:pPr>
      <w:r>
        <w:rPr>
          <w:rFonts w:ascii="Times New Roman"/>
          <w:b w:val="false"/>
          <w:i w:val="false"/>
          <w:color w:val="000000"/>
          <w:sz w:val="28"/>
        </w:rPr>
        <w:t>
            трехосные (за исключением сочлененных автобусов категории М</w:t>
      </w:r>
      <w:r>
        <w:rPr>
          <w:rFonts w:ascii="Times New Roman"/>
          <w:b w:val="false"/>
          <w:i w:val="false"/>
          <w:color w:val="000000"/>
          <w:vertAlign w:val="subscript"/>
        </w:rPr>
        <w:t>3</w:t>
      </w:r>
      <w:r>
        <w:rPr>
          <w:rFonts w:ascii="Times New Roman"/>
          <w:b w:val="false"/>
          <w:i w:val="false"/>
          <w:color w:val="000000"/>
          <w:sz w:val="28"/>
        </w:rPr>
        <w:t>) 25,0;</w:t>
      </w:r>
    </w:p>
    <w:p>
      <w:pPr>
        <w:spacing w:after="0"/>
        <w:ind w:left="0"/>
        <w:jc w:val="both"/>
      </w:pPr>
      <w:r>
        <w:rPr>
          <w:rFonts w:ascii="Times New Roman"/>
          <w:b w:val="false"/>
          <w:i w:val="false"/>
          <w:color w:val="000000"/>
          <w:sz w:val="28"/>
        </w:rPr>
        <w:t>
            для трехосных одиночных автотранспортных средств допускается превышение нагрузки на 1 тонну в случае, когда ведущие оси оснащены двускатными колесами и нагрузка на каждую ось не превышает 9,5 тонн;</w:t>
      </w:r>
    </w:p>
    <w:p>
      <w:pPr>
        <w:spacing w:after="0"/>
        <w:ind w:left="0"/>
        <w:jc w:val="both"/>
      </w:pPr>
      <w:r>
        <w:rPr>
          <w:rFonts w:ascii="Times New Roman"/>
          <w:b w:val="false"/>
          <w:i w:val="false"/>
          <w:color w:val="000000"/>
          <w:sz w:val="28"/>
        </w:rPr>
        <w:t>
            для прицепа и (или) полуприцепа с более тремя осями, по конструкции и назначению специально предназначенного для перевозки крупногабаритных и (или) тяжеловесных грузов, не должна превышать допустимую сумму осевых масс (группы осей);</w:t>
      </w:r>
    </w:p>
    <w:p>
      <w:pPr>
        <w:spacing w:after="0"/>
        <w:ind w:left="0"/>
        <w:jc w:val="both"/>
      </w:pPr>
      <w:r>
        <w:rPr>
          <w:rFonts w:ascii="Times New Roman"/>
          <w:b w:val="false"/>
          <w:i w:val="false"/>
          <w:color w:val="000000"/>
          <w:sz w:val="28"/>
        </w:rPr>
        <w:t>
            четырехосные, в том числе с двумя управляемыми осями      32,0;</w:t>
      </w:r>
    </w:p>
    <w:p>
      <w:pPr>
        <w:spacing w:after="0"/>
        <w:ind w:left="0"/>
        <w:jc w:val="both"/>
      </w:pPr>
      <w:r>
        <w:rPr>
          <w:rFonts w:ascii="Times New Roman"/>
          <w:b w:val="false"/>
          <w:i w:val="false"/>
          <w:color w:val="000000"/>
          <w:sz w:val="28"/>
        </w:rPr>
        <w:t>
            пятиосные                                                 38,0;</w:t>
      </w:r>
    </w:p>
    <w:p>
      <w:pPr>
        <w:spacing w:after="0"/>
        <w:ind w:left="0"/>
        <w:jc w:val="both"/>
      </w:pPr>
      <w:r>
        <w:rPr>
          <w:rFonts w:ascii="Times New Roman"/>
          <w:b w:val="false"/>
          <w:i w:val="false"/>
          <w:color w:val="000000"/>
          <w:sz w:val="28"/>
        </w:rPr>
        <w:t>
            с шестью и более осями                                    44,0;</w:t>
      </w:r>
    </w:p>
    <w:p>
      <w:pPr>
        <w:spacing w:after="0"/>
        <w:ind w:left="0"/>
        <w:jc w:val="both"/>
      </w:pPr>
      <w:r>
        <w:rPr>
          <w:rFonts w:ascii="Times New Roman"/>
          <w:b w:val="false"/>
          <w:i w:val="false"/>
          <w:color w:val="000000"/>
          <w:sz w:val="28"/>
        </w:rPr>
        <w:t>
            2) автопоезда в составе тягача и полуприцепа:</w:t>
      </w:r>
    </w:p>
    <w:p>
      <w:pPr>
        <w:spacing w:after="0"/>
        <w:ind w:left="0"/>
        <w:jc w:val="both"/>
      </w:pPr>
      <w:r>
        <w:rPr>
          <w:rFonts w:ascii="Times New Roman"/>
          <w:b w:val="false"/>
          <w:i w:val="false"/>
          <w:color w:val="000000"/>
          <w:sz w:val="28"/>
        </w:rPr>
        <w:t>
            трехосные                                                 28,0;</w:t>
      </w:r>
    </w:p>
    <w:p>
      <w:pPr>
        <w:spacing w:after="0"/>
        <w:ind w:left="0"/>
        <w:jc w:val="both"/>
      </w:pPr>
      <w:r>
        <w:rPr>
          <w:rFonts w:ascii="Times New Roman"/>
          <w:b w:val="false"/>
          <w:i w:val="false"/>
          <w:color w:val="000000"/>
          <w:sz w:val="28"/>
        </w:rPr>
        <w:t>
            четырехосные                                              36,0;</w:t>
      </w:r>
    </w:p>
    <w:p>
      <w:pPr>
        <w:spacing w:after="0"/>
        <w:ind w:left="0"/>
        <w:jc w:val="both"/>
      </w:pPr>
      <w:r>
        <w:rPr>
          <w:rFonts w:ascii="Times New Roman"/>
          <w:b w:val="false"/>
          <w:i w:val="false"/>
          <w:color w:val="000000"/>
          <w:sz w:val="28"/>
        </w:rPr>
        <w:t>
            для четырехосных автопоездов допускается превышение массы на 2 тонны в случае, когда допустимая масса двухосного тягача не более 18 тонн и нагрузка на сдвоенную ось полуприцепа 19 тонн при расстоянии между осями от 1,8 метра и более, ведущие оси тягача оснащены двускатными колесами и воздушной или эквивалентной ей подвеской;</w:t>
      </w:r>
    </w:p>
    <w:p>
      <w:pPr>
        <w:spacing w:after="0"/>
        <w:ind w:left="0"/>
        <w:jc w:val="both"/>
      </w:pPr>
      <w:r>
        <w:rPr>
          <w:rFonts w:ascii="Times New Roman"/>
          <w:b w:val="false"/>
          <w:i w:val="false"/>
          <w:color w:val="000000"/>
          <w:sz w:val="28"/>
        </w:rPr>
        <w:t>
            пять и более осями                                        40,0;</w:t>
      </w:r>
    </w:p>
    <w:p>
      <w:pPr>
        <w:spacing w:after="0"/>
        <w:ind w:left="0"/>
        <w:jc w:val="both"/>
      </w:pPr>
      <w:r>
        <w:rPr>
          <w:rFonts w:ascii="Times New Roman"/>
          <w:b w:val="false"/>
          <w:i w:val="false"/>
          <w:color w:val="000000"/>
          <w:sz w:val="28"/>
        </w:rPr>
        <w:t>
            для автопоезда, по конструкции и назначению специально предназначенного для перевозки крупногабаритных и (или) тяжеловесных грузов, не должна превышать сумму допустимых масс одиночных автотранспортных средств.</w:t>
      </w:r>
    </w:p>
    <w:p>
      <w:pPr>
        <w:spacing w:after="0"/>
        <w:ind w:left="0"/>
        <w:jc w:val="both"/>
      </w:pPr>
      <w:r>
        <w:rPr>
          <w:rFonts w:ascii="Times New Roman"/>
          <w:b w:val="false"/>
          <w:i w:val="false"/>
          <w:color w:val="000000"/>
          <w:sz w:val="28"/>
        </w:rPr>
        <w:t>
            3) автопоезда в составе тягача и прицепа:</w:t>
      </w:r>
    </w:p>
    <w:p>
      <w:pPr>
        <w:spacing w:after="0"/>
        <w:ind w:left="0"/>
        <w:jc w:val="both"/>
      </w:pPr>
      <w:r>
        <w:rPr>
          <w:rFonts w:ascii="Times New Roman"/>
          <w:b w:val="false"/>
          <w:i w:val="false"/>
          <w:color w:val="000000"/>
          <w:sz w:val="28"/>
        </w:rPr>
        <w:t>
            трехосные                                                 28,0;</w:t>
      </w:r>
    </w:p>
    <w:p>
      <w:pPr>
        <w:spacing w:after="0"/>
        <w:ind w:left="0"/>
        <w:jc w:val="both"/>
      </w:pPr>
      <w:r>
        <w:rPr>
          <w:rFonts w:ascii="Times New Roman"/>
          <w:b w:val="false"/>
          <w:i w:val="false"/>
          <w:color w:val="000000"/>
          <w:sz w:val="28"/>
        </w:rPr>
        <w:t>
            четырехосные                                              36,0;</w:t>
      </w:r>
    </w:p>
    <w:p>
      <w:pPr>
        <w:spacing w:after="0"/>
        <w:ind w:left="0"/>
        <w:jc w:val="both"/>
      </w:pPr>
      <w:r>
        <w:rPr>
          <w:rFonts w:ascii="Times New Roman"/>
          <w:b w:val="false"/>
          <w:i w:val="false"/>
          <w:color w:val="000000"/>
          <w:sz w:val="28"/>
        </w:rPr>
        <w:t>
            пять и более осями                                        44,0.</w:t>
      </w:r>
    </w:p>
    <w:p>
      <w:pPr>
        <w:spacing w:after="0"/>
        <w:ind w:left="0"/>
        <w:jc w:val="both"/>
      </w:pPr>
      <w:r>
        <w:rPr>
          <w:rFonts w:ascii="Times New Roman"/>
          <w:b w:val="false"/>
          <w:i w:val="false"/>
          <w:color w:val="000000"/>
          <w:sz w:val="28"/>
        </w:rPr>
        <w:t>
            для автопоезда, по конструкции и назначению специально предназначенного для перевозки крупногабаритных и (или) тяжеловесных грузов, не должна превышать сумму допустимых масс одиночных автотранспортных средств.</w:t>
      </w:r>
    </w:p>
    <w:p>
      <w:pPr>
        <w:spacing w:after="0"/>
        <w:ind w:left="0"/>
        <w:jc w:val="both"/>
      </w:pPr>
      <w:r>
        <w:rPr>
          <w:rFonts w:ascii="Times New Roman"/>
          <w:b w:val="false"/>
          <w:i w:val="false"/>
          <w:color w:val="000000"/>
          <w:sz w:val="28"/>
        </w:rPr>
        <w:t>
            14. Допустимая осевая (на группу осей) нагрузка автотранспортных средств в сумме осевых масс не должна превышать приведенные ниже значения (в тоннах):</w:t>
      </w:r>
    </w:p>
    <w:p>
      <w:pPr>
        <w:spacing w:after="0"/>
        <w:ind w:left="0"/>
        <w:jc w:val="both"/>
      </w:pPr>
      <w:r>
        <w:rPr>
          <w:rFonts w:ascii="Times New Roman"/>
          <w:b w:val="false"/>
          <w:i w:val="false"/>
          <w:color w:val="000000"/>
          <w:sz w:val="28"/>
        </w:rPr>
        <w:t>
            1) одиночная ось                                          10,0;</w:t>
      </w:r>
    </w:p>
    <w:p>
      <w:pPr>
        <w:spacing w:after="0"/>
        <w:ind w:left="0"/>
        <w:jc w:val="both"/>
      </w:pPr>
      <w:r>
        <w:rPr>
          <w:rFonts w:ascii="Times New Roman"/>
          <w:b w:val="false"/>
          <w:i w:val="false"/>
          <w:color w:val="000000"/>
          <w:sz w:val="28"/>
        </w:rPr>
        <w:t>
            2) для сдвоенных осей при расстояниях между осями:</w:t>
      </w:r>
    </w:p>
    <w:p>
      <w:pPr>
        <w:spacing w:after="0"/>
        <w:ind w:left="0"/>
        <w:jc w:val="both"/>
      </w:pPr>
      <w:r>
        <w:rPr>
          <w:rFonts w:ascii="Times New Roman"/>
          <w:b w:val="false"/>
          <w:i w:val="false"/>
          <w:color w:val="000000"/>
          <w:sz w:val="28"/>
        </w:rPr>
        <w:t>
            до 1 метра                                                12,0;</w:t>
      </w:r>
    </w:p>
    <w:p>
      <w:pPr>
        <w:spacing w:after="0"/>
        <w:ind w:left="0"/>
        <w:jc w:val="both"/>
      </w:pPr>
      <w:r>
        <w:rPr>
          <w:rFonts w:ascii="Times New Roman"/>
          <w:b w:val="false"/>
          <w:i w:val="false"/>
          <w:color w:val="000000"/>
          <w:sz w:val="28"/>
        </w:rPr>
        <w:t>
            от 1 метра включительно до 1,3 метра                      14,0;</w:t>
      </w:r>
    </w:p>
    <w:p>
      <w:pPr>
        <w:spacing w:after="0"/>
        <w:ind w:left="0"/>
        <w:jc w:val="both"/>
      </w:pPr>
      <w:r>
        <w:rPr>
          <w:rFonts w:ascii="Times New Roman"/>
          <w:b w:val="false"/>
          <w:i w:val="false"/>
          <w:color w:val="000000"/>
          <w:sz w:val="28"/>
        </w:rPr>
        <w:t>
            от 1,3 метра включительно до 1,8 метра                    16,0;</w:t>
      </w:r>
    </w:p>
    <w:p>
      <w:pPr>
        <w:spacing w:after="0"/>
        <w:ind w:left="0"/>
        <w:jc w:val="both"/>
      </w:pPr>
      <w:r>
        <w:rPr>
          <w:rFonts w:ascii="Times New Roman"/>
          <w:b w:val="false"/>
          <w:i w:val="false"/>
          <w:color w:val="000000"/>
          <w:sz w:val="28"/>
        </w:rPr>
        <w:t>
            от 1,8 метра до 2 метров                                  18,0;</w:t>
      </w:r>
    </w:p>
    <w:p>
      <w:pPr>
        <w:spacing w:after="0"/>
        <w:ind w:left="0"/>
        <w:jc w:val="both"/>
      </w:pPr>
      <w:r>
        <w:rPr>
          <w:rFonts w:ascii="Times New Roman"/>
          <w:b w:val="false"/>
          <w:i w:val="false"/>
          <w:color w:val="000000"/>
          <w:sz w:val="28"/>
        </w:rPr>
        <w:t>
            допускается превышение нагрузки на 1 тонну в случае, когда каждая ведущая ось оснащена двускатными колесами и нагрузка на каждую ось не превышает 9,5 тонн;</w:t>
      </w:r>
    </w:p>
    <w:p>
      <w:pPr>
        <w:spacing w:after="0"/>
        <w:ind w:left="0"/>
        <w:jc w:val="both"/>
      </w:pPr>
      <w:r>
        <w:rPr>
          <w:rFonts w:ascii="Times New Roman"/>
          <w:b w:val="false"/>
          <w:i w:val="false"/>
          <w:color w:val="000000"/>
          <w:sz w:val="28"/>
        </w:rPr>
        <w:t>
            3) для строенных осей при расстояниях между осями:</w:t>
      </w:r>
    </w:p>
    <w:p>
      <w:pPr>
        <w:spacing w:after="0"/>
        <w:ind w:left="0"/>
        <w:jc w:val="both"/>
      </w:pPr>
      <w:r>
        <w:rPr>
          <w:rFonts w:ascii="Times New Roman"/>
          <w:b w:val="false"/>
          <w:i w:val="false"/>
          <w:color w:val="000000"/>
          <w:sz w:val="28"/>
        </w:rPr>
        <w:t>
            до 1 метра                                                18,0;</w:t>
      </w:r>
    </w:p>
    <w:p>
      <w:pPr>
        <w:spacing w:after="0"/>
        <w:ind w:left="0"/>
        <w:jc w:val="both"/>
      </w:pPr>
      <w:r>
        <w:rPr>
          <w:rFonts w:ascii="Times New Roman"/>
          <w:b w:val="false"/>
          <w:i w:val="false"/>
          <w:color w:val="000000"/>
          <w:sz w:val="28"/>
        </w:rPr>
        <w:t>
            от 1 метра включительно до 1,3 метра                      21,0;</w:t>
      </w:r>
    </w:p>
    <w:p>
      <w:pPr>
        <w:spacing w:after="0"/>
        <w:ind w:left="0"/>
        <w:jc w:val="both"/>
      </w:pPr>
      <w:r>
        <w:rPr>
          <w:rFonts w:ascii="Times New Roman"/>
          <w:b w:val="false"/>
          <w:i w:val="false"/>
          <w:color w:val="000000"/>
          <w:sz w:val="28"/>
        </w:rPr>
        <w:t>
            от 1,3 метра включительно до 1,8 метра                    24,0;</w:t>
      </w:r>
    </w:p>
    <w:p>
      <w:pPr>
        <w:spacing w:after="0"/>
        <w:ind w:left="0"/>
        <w:jc w:val="both"/>
      </w:pPr>
      <w:r>
        <w:rPr>
          <w:rFonts w:ascii="Times New Roman"/>
          <w:b w:val="false"/>
          <w:i w:val="false"/>
          <w:color w:val="000000"/>
          <w:sz w:val="28"/>
        </w:rPr>
        <w:t>
            от 1,8 метра до 2 метров                                  27,0;</w:t>
      </w:r>
    </w:p>
    <w:p>
      <w:pPr>
        <w:spacing w:after="0"/>
        <w:ind w:left="0"/>
        <w:jc w:val="both"/>
      </w:pPr>
      <w:r>
        <w:rPr>
          <w:rFonts w:ascii="Times New Roman"/>
          <w:b w:val="false"/>
          <w:i w:val="false"/>
          <w:color w:val="000000"/>
          <w:sz w:val="28"/>
        </w:rPr>
        <w:t>
            4) с более тремя осями или группой независимых осей нагрузка на каждую ось при расстояниях между осями:</w:t>
      </w:r>
    </w:p>
    <w:p>
      <w:pPr>
        <w:spacing w:after="0"/>
        <w:ind w:left="0"/>
        <w:jc w:val="both"/>
      </w:pPr>
      <w:r>
        <w:rPr>
          <w:rFonts w:ascii="Times New Roman"/>
          <w:b w:val="false"/>
          <w:i w:val="false"/>
          <w:color w:val="000000"/>
          <w:sz w:val="28"/>
        </w:rPr>
        <w:t>
            до 1 метра                                                 6,0;</w:t>
      </w:r>
    </w:p>
    <w:p>
      <w:pPr>
        <w:spacing w:after="0"/>
        <w:ind w:left="0"/>
        <w:jc w:val="both"/>
      </w:pPr>
      <w:r>
        <w:rPr>
          <w:rFonts w:ascii="Times New Roman"/>
          <w:b w:val="false"/>
          <w:i w:val="false"/>
          <w:color w:val="000000"/>
          <w:sz w:val="28"/>
        </w:rPr>
        <w:t>
            от 1 метра включительно до 1,3 метра                       7,0;</w:t>
      </w:r>
    </w:p>
    <w:p>
      <w:pPr>
        <w:spacing w:after="0"/>
        <w:ind w:left="0"/>
        <w:jc w:val="both"/>
      </w:pPr>
      <w:r>
        <w:rPr>
          <w:rFonts w:ascii="Times New Roman"/>
          <w:b w:val="false"/>
          <w:i w:val="false"/>
          <w:color w:val="000000"/>
          <w:sz w:val="28"/>
        </w:rPr>
        <w:t>
            от 1,3 метра включительно до 1,8 метра                     8,0;</w:t>
      </w:r>
    </w:p>
    <w:p>
      <w:pPr>
        <w:spacing w:after="0"/>
        <w:ind w:left="0"/>
        <w:jc w:val="both"/>
      </w:pPr>
      <w:r>
        <w:rPr>
          <w:rFonts w:ascii="Times New Roman"/>
          <w:b w:val="false"/>
          <w:i w:val="false"/>
          <w:color w:val="000000"/>
          <w:sz w:val="28"/>
        </w:rPr>
        <w:t>
            от 1,8 метра до 2 метров                                 9,0.";</w:t>
      </w:r>
    </w:p>
    <w:bookmarkStart w:name="z7"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"18. При определении весовых и (или) габаритных параметров автотранспортных средств учитывают установленные погрешности измерительного оборудования, в том числе в ходе его эксплуатации.</w:t>
      </w:r>
    </w:p>
    <w:p>
      <w:pPr>
        <w:spacing w:after="0"/>
        <w:ind w:left="0"/>
        <w:jc w:val="both"/>
      </w:pPr>
      <w:r>
        <w:rPr>
          <w:rFonts w:ascii="Times New Roman"/>
          <w:b w:val="false"/>
          <w:i w:val="false"/>
          <w:color w:val="000000"/>
          <w:sz w:val="28"/>
        </w:rPr>
        <w:t>
      Погрешность измерительного оборудования толкуется в пользу перевозчика.".</w:t>
      </w:r>
    </w:p>
    <w:bookmarkStart w:name="z8" w:id="5"/>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бумажном и электронном виде на официальное опубликование в периодические печатные издания и информационно-правовую систему "Әділет",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настоящего пункта.</w:t>
      </w:r>
    </w:p>
    <w:bookmarkStart w:name="z9"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6"/>
    <w:bookmarkStart w:name="z10"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но не ранее 1 января 2017 года.</w:t>
      </w:r>
    </w:p>
    <w:bookmarkEnd w:id="7"/>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802"/>
        <w:gridCol w:w="249"/>
        <w:gridCol w:w="249"/>
      </w:tblGrid>
      <w:tr>
        <w:trPr>
          <w:trHeight w:val="30" w:hRule="atLeast"/>
        </w:trPr>
        <w:tc>
          <w:tcPr>
            <w:tcW w:w="11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r>
              <w:rPr>
                <w:rFonts w:ascii="Times New Roman"/>
                <w:b w:val="false"/>
                <w:i w:val="false"/>
                <w:color w:val="000000"/>
                <w:sz w:val="20"/>
              </w:rPr>
              <w:t>
</w:t>
            </w:r>
            <w:r>
              <w:rPr>
                <w:rFonts w:ascii="Times New Roman"/>
                <w:b w:val="false"/>
                <w:i/>
                <w:color w:val="000000"/>
                <w:sz w:val="20"/>
              </w:rPr>
              <w:t>Министр финансов</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color w:val="000000"/>
                <w:sz w:val="20"/>
              </w:rPr>
              <w:t>____________ Б. Султанов</w:t>
            </w:r>
          </w:p>
          <w:p>
            <w:pPr>
              <w:spacing w:after="20"/>
              <w:ind w:left="20"/>
              <w:jc w:val="both"/>
            </w:pPr>
            <w:r>
              <w:rPr>
                <w:rFonts w:ascii="Times New Roman"/>
                <w:b w:val="false"/>
                <w:i w:val="false"/>
                <w:color w:val="000000"/>
                <w:sz w:val="20"/>
              </w:rPr>
              <w:t>
</w:t>
            </w:r>
            <w:r>
              <w:rPr>
                <w:rFonts w:ascii="Times New Roman"/>
                <w:b w:val="false"/>
                <w:i/>
                <w:color w:val="000000"/>
                <w:sz w:val="20"/>
              </w:rPr>
              <w:t>8 ноября 2016 года</w:t>
            </w:r>
          </w:p>
        </w:tc>
        <w:tc>
          <w:tcPr>
            <w:tcW w:w="2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r>
              <w:rPr>
                <w:rFonts w:ascii="Times New Roman"/>
                <w:b w:val="false"/>
                <w:i w:val="false"/>
                <w:color w:val="000000"/>
                <w:sz w:val="20"/>
              </w:rPr>
              <w:t>
</w:t>
            </w:r>
            <w:r>
              <w:rPr>
                <w:rFonts w:ascii="Times New Roman"/>
                <w:b w:val="false"/>
                <w:i/>
                <w:color w:val="000000"/>
                <w:sz w:val="20"/>
              </w:rPr>
              <w:t>Министр национальной экономики</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color w:val="000000"/>
                <w:sz w:val="20"/>
              </w:rPr>
              <w:t>____________ К. Бишимбаев</w:t>
            </w:r>
          </w:p>
          <w:p>
            <w:pPr>
              <w:spacing w:after="20"/>
              <w:ind w:left="20"/>
              <w:jc w:val="both"/>
            </w:pPr>
            <w:r>
              <w:rPr>
                <w:rFonts w:ascii="Times New Roman"/>
                <w:b w:val="false"/>
                <w:i w:val="false"/>
                <w:color w:val="000000"/>
                <w:sz w:val="20"/>
              </w:rPr>
              <w:t>
</w:t>
            </w:r>
            <w:r>
              <w:rPr>
                <w:rFonts w:ascii="Times New Roman"/>
                <w:b w:val="false"/>
                <w:i/>
                <w:color w:val="000000"/>
                <w:sz w:val="20"/>
              </w:rPr>
              <w:t>30 ноября 2016 года</w:t>
            </w:r>
          </w:p>
        </w:tc>
        <w:tc>
          <w:tcPr>
            <w:tcW w:w="2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r>
              <w:rPr>
                <w:rFonts w:ascii="Times New Roman"/>
                <w:b w:val="false"/>
                <w:i w:val="false"/>
                <w:color w:val="000000"/>
                <w:sz w:val="20"/>
              </w:rPr>
              <w:t>
</w:t>
            </w:r>
            <w:r>
              <w:rPr>
                <w:rFonts w:ascii="Times New Roman"/>
                <w:b w:val="false"/>
                <w:i/>
                <w:color w:val="000000"/>
                <w:sz w:val="20"/>
              </w:rPr>
              <w:t>Министр внутренних дел</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color w:val="000000"/>
                <w:sz w:val="20"/>
              </w:rPr>
              <w:t>____________ К. Касымов</w:t>
            </w:r>
          </w:p>
          <w:p>
            <w:pPr>
              <w:spacing w:after="20"/>
              <w:ind w:left="20"/>
              <w:jc w:val="both"/>
            </w:pPr>
            <w:r>
              <w:rPr>
                <w:rFonts w:ascii="Times New Roman"/>
                <w:b w:val="false"/>
                <w:i w:val="false"/>
                <w:color w:val="000000"/>
                <w:sz w:val="20"/>
              </w:rPr>
              <w:t>
</w:t>
            </w:r>
            <w:r>
              <w:rPr>
                <w:rFonts w:ascii="Times New Roman"/>
                <w:b w:val="false"/>
                <w:i/>
                <w:color w:val="000000"/>
                <w:sz w:val="20"/>
              </w:rPr>
              <w:t>15 ноября 2016 года</w:t>
            </w:r>
          </w:p>
        </w:tc>
        <w:tc>
          <w:tcPr>
            <w:tcW w:w="2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
Министр энергетики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____________ К. Бозумбаев</w:t>
            </w:r>
          </w:p>
          <w:p>
            <w:pPr>
              <w:spacing w:after="20"/>
              <w:ind w:left="20"/>
              <w:jc w:val="both"/>
            </w:pPr>
            <w:r>
              <w:rPr>
                <w:rFonts w:ascii="Times New Roman"/>
                <w:b w:val="false"/>
                <w:i w:val="false"/>
                <w:color w:val="000000"/>
                <w:sz w:val="20"/>
              </w:rPr>
              <w:t>
21 ноября 2016 года</w:t>
            </w:r>
          </w:p>
        </w:tc>
        <w:tc>
          <w:tcPr>
            <w:tcW w:w="2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