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dace" w14:textId="84dd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24 ноября 2015 года № 710 "Об утверждении Особого порядка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декабря 2016 года № 499. Зарегистрирован в Министерстве юстиции Республики Казахстан 25 января 2017 года № 14720. Утратил силу приказом Министра национальной экономики Республики Казахстан от 6 ноября 2020 года № 85.</w:t>
      </w:r>
    </w:p>
    <w:p>
      <w:pPr>
        <w:spacing w:after="0"/>
        <w:ind w:left="0"/>
        <w:jc w:val="both"/>
      </w:pPr>
      <w:bookmarkStart w:name="z13" w:id="0"/>
      <w:r>
        <w:rPr>
          <w:rFonts w:ascii="Times New Roman"/>
          <w:b w:val="false"/>
          <w:i w:val="false"/>
          <w:color w:val="ff0000"/>
          <w:sz w:val="28"/>
        </w:rPr>
        <w:t xml:space="preserve">
      Сноска. Утратил силу приказом Министра национальной экономики РК от 06.11.2020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ноября 2015 года № 710 "Об утверждении Особого порядка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(зарегистрированный в Реестре государственной регистрации нормативных правовых актов за № 12506, опубликованный в информационно-правовой системе "Әділет" 31 декабря 2015 года) следующие изменения: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Особом порядке</w:t>
      </w:r>
      <w:r>
        <w:rPr>
          <w:rFonts w:ascii="Times New Roman"/>
          <w:b w:val="false"/>
          <w:i w:val="false"/>
          <w:color w:val="000000"/>
          <w:sz w:val="28"/>
        </w:rPr>
        <w:t xml:space="preserve">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(далее – Особый порядок), утвержденном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"4. В Особом порядке используются следующие понятия:</w:t>
      </w:r>
    </w:p>
    <w:bookmarkEnd w:id="4"/>
    <w:bookmarkStart w:name="z9" w:id="5"/>
    <w:p>
      <w:pPr>
        <w:spacing w:after="0"/>
        <w:ind w:left="0"/>
        <w:jc w:val="both"/>
      </w:pPr>
      <w:r>
        <w:rPr>
          <w:rFonts w:ascii="Times New Roman"/>
          <w:b w:val="false"/>
          <w:i w:val="false"/>
          <w:color w:val="000000"/>
          <w:sz w:val="28"/>
        </w:rPr>
        <w:t>
      1) переменная часть прибыли – это часть прибыли, не превышающая 30 % от прибыли, включенной в тариф, формируемая с учетом критериев качества, надежности и эффективности регулируемых услуг;</w:t>
      </w:r>
    </w:p>
    <w:bookmarkEnd w:id="5"/>
    <w:bookmarkStart w:name="z10" w:id="6"/>
    <w:p>
      <w:pPr>
        <w:spacing w:after="0"/>
        <w:ind w:left="0"/>
        <w:jc w:val="both"/>
      </w:pPr>
      <w:r>
        <w:rPr>
          <w:rFonts w:ascii="Times New Roman"/>
          <w:b w:val="false"/>
          <w:i w:val="false"/>
          <w:color w:val="000000"/>
          <w:sz w:val="28"/>
        </w:rPr>
        <w:t xml:space="preserve">
      2) двуставочный тариф – тариф, состоящий из тарифа за потребление и тарифа за содержание системы оказания услуг; </w:t>
      </w:r>
    </w:p>
    <w:bookmarkEnd w:id="6"/>
    <w:bookmarkStart w:name="z11" w:id="7"/>
    <w:p>
      <w:pPr>
        <w:spacing w:after="0"/>
        <w:ind w:left="0"/>
        <w:jc w:val="both"/>
      </w:pP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 а также местный исполнительный орган, осуществляющий согласование инвестиционной программы (проекта) Субъекта, оказывающего регулируемые услуги на соответствующей территории административно-территориальной единицы, включенного в местный раздел Государственного регистра субъектов естественных монополий;</w:t>
      </w:r>
    </w:p>
    <w:bookmarkEnd w:id="7"/>
    <w:bookmarkStart w:name="z12" w:id="8"/>
    <w:p>
      <w:pPr>
        <w:spacing w:after="0"/>
        <w:ind w:left="0"/>
        <w:jc w:val="both"/>
      </w:pPr>
      <w:r>
        <w:rPr>
          <w:rFonts w:ascii="Times New Roman"/>
          <w:b w:val="false"/>
          <w:i w:val="false"/>
          <w:color w:val="000000"/>
          <w:sz w:val="28"/>
        </w:rPr>
        <w:t>
      4)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8"/>
    <w:bookmarkStart w:name="z13" w:id="9"/>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 и на регулируемых рынках;</w:t>
      </w:r>
    </w:p>
    <w:bookmarkEnd w:id="9"/>
    <w:bookmarkStart w:name="z14" w:id="10"/>
    <w:p>
      <w:pPr>
        <w:spacing w:after="0"/>
        <w:ind w:left="0"/>
        <w:jc w:val="both"/>
      </w:pPr>
      <w:r>
        <w:rPr>
          <w:rFonts w:ascii="Times New Roman"/>
          <w:b w:val="false"/>
          <w:i w:val="false"/>
          <w:color w:val="000000"/>
          <w:sz w:val="28"/>
        </w:rPr>
        <w:t>
      6) займы международных финансовых организаций – займы, выданные международными финансовыми организациями, на основании договора займа либо в виде векселей, облигаций, других ценных бумаг и иных денежных обязательств международных финансовых организаций.";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16" w:id="11"/>
    <w:p>
      <w:pPr>
        <w:spacing w:after="0"/>
        <w:ind w:left="0"/>
        <w:jc w:val="both"/>
      </w:pPr>
      <w:r>
        <w:rPr>
          <w:rFonts w:ascii="Times New Roman"/>
          <w:b w:val="false"/>
          <w:i w:val="false"/>
          <w:color w:val="000000"/>
          <w:sz w:val="28"/>
        </w:rPr>
        <w:t>
      "4) фактических данных о затратах за предыдущий год, с приложением сведений об исполнении тарифной сметы на регулируемые услуги за соответствующий период по форме, согласно приложению 1 к Правилам утверждения предельного уровня тарифов, обосновывающих материалов и расшифровок по каждой статье тарифной сметы;";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18" w:id="12"/>
    <w:p>
      <w:pPr>
        <w:spacing w:after="0"/>
        <w:ind w:left="0"/>
        <w:jc w:val="both"/>
      </w:pPr>
      <w:r>
        <w:rPr>
          <w:rFonts w:ascii="Times New Roman"/>
          <w:b w:val="false"/>
          <w:i w:val="false"/>
          <w:color w:val="000000"/>
          <w:sz w:val="28"/>
        </w:rPr>
        <w:t>
      "1) на основе фактического исполнения тарифной сметы за предшествующий год;";</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"35. В случаях соответствующего увеличения или уменьшения стоимости стратегических товаров, включая стоимости транспортировки товаров, увеличения или уменьшения объема оказываемых регулируемых услуг, но не чаще одного раза в год, Субъект направляет в ведомство уполномоченного органа извещение в произвольной форме о предстоящем повышении либо снижении предельного уровня тарифа (цены, ставки сбора) с указанием даты и с приложением обосновывающих материалов не позднее, чем за тридцать календарных дней до даты повышения предельного уровня тарифа (цены, ставки сбора).</w:t>
      </w:r>
    </w:p>
    <w:bookmarkEnd w:id="13"/>
    <w:bookmarkStart w:name="z21" w:id="14"/>
    <w:p>
      <w:pPr>
        <w:spacing w:after="0"/>
        <w:ind w:left="0"/>
        <w:jc w:val="both"/>
      </w:pPr>
      <w:r>
        <w:rPr>
          <w:rFonts w:ascii="Times New Roman"/>
          <w:b w:val="false"/>
          <w:i w:val="false"/>
          <w:color w:val="000000"/>
          <w:sz w:val="28"/>
        </w:rPr>
        <w:t>
      36. Ведомство уполномоченного органа в течение двадцати календарных дней со дня получения извещения Субъекта, рассматривает извещение и прилагаемые обосновывающие материалы.</w:t>
      </w:r>
    </w:p>
    <w:bookmarkEnd w:id="14"/>
    <w:bookmarkStart w:name="z22" w:id="15"/>
    <w:p>
      <w:pPr>
        <w:spacing w:after="0"/>
        <w:ind w:left="0"/>
        <w:jc w:val="both"/>
      </w:pPr>
      <w:r>
        <w:rPr>
          <w:rFonts w:ascii="Times New Roman"/>
          <w:b w:val="false"/>
          <w:i w:val="false"/>
          <w:color w:val="000000"/>
          <w:sz w:val="28"/>
        </w:rPr>
        <w:t>
      Решение ведомства уполномоченного органа о снижении или повышения предельного уровня тарифа (цены, ставки сбора) на регулируемые услуги Субъекта, принимается в форме приказа с указанием даты введения предельного уровня тарифа.</w:t>
      </w:r>
    </w:p>
    <w:bookmarkEnd w:id="15"/>
    <w:bookmarkStart w:name="z23" w:id="16"/>
    <w:p>
      <w:pPr>
        <w:spacing w:after="0"/>
        <w:ind w:left="0"/>
        <w:jc w:val="both"/>
      </w:pPr>
      <w:r>
        <w:rPr>
          <w:rFonts w:ascii="Times New Roman"/>
          <w:b w:val="false"/>
          <w:i w:val="false"/>
          <w:color w:val="000000"/>
          <w:sz w:val="28"/>
        </w:rPr>
        <w:t>
      При этом, в случае необоснованного повышения уровня тарифа (цены, ставки сбора) или непредставления обосновывающих материалов, направляет Субъекту мотивированный отказ в повышении предельного уровня тарифа (цены, ставки сбора).</w:t>
      </w:r>
    </w:p>
    <w:bookmarkEnd w:id="16"/>
    <w:bookmarkStart w:name="z24" w:id="17"/>
    <w:p>
      <w:pPr>
        <w:spacing w:after="0"/>
        <w:ind w:left="0"/>
        <w:jc w:val="both"/>
      </w:pPr>
      <w:r>
        <w:rPr>
          <w:rFonts w:ascii="Times New Roman"/>
          <w:b w:val="false"/>
          <w:i w:val="false"/>
          <w:color w:val="000000"/>
          <w:sz w:val="28"/>
        </w:rPr>
        <w:t xml:space="preserve">
      37. В случае, если Субъект не обратился в ведомство уполномоченного органа о снижении предельного уровня тарифа в результате снижения стоимости стратегических товаров, включая стоимости транспортировки товаров, увеличения объема оказываемых регулируемых услуг, ведомство уполномоченного органа по итогам анализа отчета об исполнении тарифной сметы вводит временный компенсирующий тариф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утверждению временного компенсирующего тарифа, утвержденными приказом Председателя Агентства Республики Казахстан по регулированию естественных монополий от 16 апреля 2013 года №115-ОД (зарегистрированными в Реестре государственной регистрации нормативных правовых актов за № 8472.)";</w:t>
      </w:r>
    </w:p>
    <w:bookmarkEnd w:id="17"/>
    <w:bookmarkStart w:name="z25" w:id="18"/>
    <w:p>
      <w:pPr>
        <w:spacing w:after="0"/>
        <w:ind w:left="0"/>
        <w:jc w:val="both"/>
      </w:pPr>
      <w:r>
        <w:rPr>
          <w:rFonts w:ascii="Times New Roman"/>
          <w:b w:val="false"/>
          <w:i w:val="false"/>
          <w:color w:val="000000"/>
          <w:sz w:val="28"/>
        </w:rPr>
        <w:t>
      пункт 38 исключить;</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"39. Субъект на основании полученного решения об утверждении предельного уровня тарифа вводит в действие предельный уровень тарифа (цены, ставки сбора) с даты, указанной в приказе.";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"43. Субъект доводит до сведения ведомства уполномоченного органа и потребителей информацию об изменении предельного уровня тарифа (цены, ставки сбора) не позднее, чем за семь календарных дней до введения его в действие.";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xml:space="preserve">
      "55. Затратная часть тарифа (цены, ставки сбора) Субъекта формируется на основании фактических затрат Субъекта за последний год, принятых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(зарегистрированный в Реестре государственной регистрации нормативных правовых актов за № 8480 опубликованный в газете "Казахстанская правда" от 23 октября 2013 года № 299 (27573)) с учетом показателей прогноза социально-экономического развития Республики Казахстан (инфляция).";</w:t>
      </w:r>
    </w:p>
    <w:bookmarkEnd w:id="21"/>
    <w:bookmarkStart w:name="z32" w:id="22"/>
    <w:p>
      <w:pPr>
        <w:spacing w:after="0"/>
        <w:ind w:left="0"/>
        <w:jc w:val="both"/>
      </w:pPr>
      <w:r>
        <w:rPr>
          <w:rFonts w:ascii="Times New Roman"/>
          <w:b w:val="false"/>
          <w:i w:val="false"/>
          <w:color w:val="000000"/>
          <w:sz w:val="28"/>
        </w:rPr>
        <w:t>
      56. В случае, если Субъект оказывает регулируемые услуги менее одного года, то его затраты определяются по результатам сравнительного анализа затрат субъектов естественных монополий, оказывающих аналогичные регулируемые услуги на сопоставимом товарном рынке, за период не менее одного года.";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"72. Значения безрисковой ставки доходности премии за риск инвестирования в капитал и бета-коэффициент для соответствующей отрасли (без учета долговой нагрузки) устанавливаются ежегодно ведомством уполномоченного органа на следующий год.";</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6" w:id="24"/>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4"/>
    <w:bookmarkStart w:name="z37"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8" w:id="2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6"/>
    <w:bookmarkStart w:name="z39" w:id="2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7"/>
    <w:bookmarkStart w:name="z40" w:id="28"/>
    <w:p>
      <w:pPr>
        <w:spacing w:after="0"/>
        <w:ind w:left="0"/>
        <w:jc w:val="both"/>
      </w:pPr>
      <w:r>
        <w:rPr>
          <w:rFonts w:ascii="Times New Roman"/>
          <w:b w:val="false"/>
          <w:i w:val="false"/>
          <w:color w:val="000000"/>
          <w:sz w:val="28"/>
        </w:rPr>
        <w:t>
      4)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8"/>
    <w:bookmarkStart w:name="z41" w:id="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9"/>
    <w:bookmarkStart w:name="z42"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Бишимбаев</w:t>
            </w:r>
            <w:r>
              <w:rPr>
                <w:rFonts w:ascii="Times New Roman"/>
                <w:b w:val="false"/>
                <w:i w:val="false"/>
                <w:color w:val="000000"/>
                <w:sz w:val="20"/>
              </w:rPr>
              <w:t>
</w:t>
            </w:r>
          </w:p>
        </w:tc>
      </w:tr>
    </w:tbl>
    <w:bookmarkStart w:name="z45" w:id="3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______________А. Мырзахметов</w:t>
      </w:r>
      <w:r>
        <w:br/>
      </w:r>
      <w:r>
        <w:rPr>
          <w:rFonts w:ascii="Times New Roman"/>
          <w:b w:val="false"/>
          <w:i w:val="false"/>
          <w:color w:val="000000"/>
          <w:sz w:val="28"/>
        </w:rPr>
        <w:t>от 26 декабря 2016 года</w:t>
      </w:r>
    </w:p>
    <w:bookmarkEnd w:id="31"/>
    <w:bookmarkStart w:name="z46" w:id="3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w:t>
      </w:r>
      <w:r>
        <w:br/>
      </w:r>
      <w:r>
        <w:rPr>
          <w:rFonts w:ascii="Times New Roman"/>
          <w:b w:val="false"/>
          <w:i w:val="false"/>
          <w:color w:val="000000"/>
          <w:sz w:val="28"/>
        </w:rPr>
        <w:t>и развитию Республики Казахстан</w:t>
      </w:r>
      <w:r>
        <w:br/>
      </w:r>
      <w:r>
        <w:rPr>
          <w:rFonts w:ascii="Times New Roman"/>
          <w:b w:val="false"/>
          <w:i w:val="false"/>
          <w:color w:val="000000"/>
          <w:sz w:val="28"/>
        </w:rPr>
        <w:t>______________Ж. Касымбек</w:t>
      </w:r>
      <w:r>
        <w:br/>
      </w:r>
      <w:r>
        <w:rPr>
          <w:rFonts w:ascii="Times New Roman"/>
          <w:b w:val="false"/>
          <w:i w:val="false"/>
          <w:color w:val="000000"/>
          <w:sz w:val="28"/>
        </w:rPr>
        <w:t>от 23 декабря 2016 года</w:t>
      </w:r>
    </w:p>
    <w:bookmarkEnd w:id="32"/>
    <w:bookmarkStart w:name="z47" w:id="3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______________Б. Джаксалиев</w:t>
      </w:r>
      <w:r>
        <w:br/>
      </w:r>
      <w:r>
        <w:rPr>
          <w:rFonts w:ascii="Times New Roman"/>
          <w:b w:val="false"/>
          <w:i w:val="false"/>
          <w:color w:val="000000"/>
          <w:sz w:val="28"/>
        </w:rPr>
        <w:t>от 8 декабря 2016 года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499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Особому порядку регулирования</w:t>
            </w:r>
            <w:r>
              <w:br/>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монополий, привлекающих займы</w:t>
            </w:r>
            <w:r>
              <w:br/>
            </w:r>
            <w:r>
              <w:rPr>
                <w:rFonts w:ascii="Times New Roman"/>
                <w:b w:val="false"/>
                <w:i w:val="false"/>
                <w:color w:val="000000"/>
                <w:sz w:val="20"/>
              </w:rPr>
              <w:t>международных финансовых организаций</w:t>
            </w:r>
            <w:r>
              <w:br/>
            </w:r>
            <w:r>
              <w:rPr>
                <w:rFonts w:ascii="Times New Roman"/>
                <w:b w:val="false"/>
                <w:i w:val="false"/>
                <w:color w:val="000000"/>
                <w:sz w:val="20"/>
              </w:rPr>
              <w:t>и входящих в перечень субъектов</w:t>
            </w:r>
            <w:r>
              <w:br/>
            </w:r>
            <w:r>
              <w:rPr>
                <w:rFonts w:ascii="Times New Roman"/>
                <w:b w:val="false"/>
                <w:i w:val="false"/>
                <w:color w:val="000000"/>
                <w:sz w:val="20"/>
              </w:rPr>
              <w:t>естественных монополий, привлекающих</w:t>
            </w:r>
            <w:r>
              <w:br/>
            </w:r>
            <w:r>
              <w:rPr>
                <w:rFonts w:ascii="Times New Roman"/>
                <w:b w:val="false"/>
                <w:i w:val="false"/>
                <w:color w:val="000000"/>
                <w:sz w:val="20"/>
              </w:rPr>
              <w:t>займы международных</w:t>
            </w:r>
            <w:r>
              <w:br/>
            </w:r>
            <w:r>
              <w:rPr>
                <w:rFonts w:ascii="Times New Roman"/>
                <w:b w:val="false"/>
                <w:i w:val="false"/>
                <w:color w:val="000000"/>
                <w:sz w:val="20"/>
              </w:rPr>
              <w:t>финансовых организаций</w:t>
            </w:r>
          </w:p>
        </w:tc>
      </w:tr>
    </w:tbl>
    <w:bookmarkStart w:name="z50" w:id="34"/>
    <w:p>
      <w:pPr>
        <w:spacing w:after="0"/>
        <w:ind w:left="0"/>
        <w:jc w:val="left"/>
      </w:pPr>
      <w:r>
        <w:rPr>
          <w:rFonts w:ascii="Times New Roman"/>
          <w:b/>
          <w:i w:val="false"/>
          <w:color w:val="000000"/>
        </w:rPr>
        <w:t xml:space="preserve"> Специальные критерии качества, надежности и эффективности регулируемых услуг (максимальное значение – 0,4):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8970"/>
        <w:gridCol w:w="188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w:t>
            </w:r>
          </w:p>
          <w:bookmarkEnd w:id="35"/>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1</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теплоэнергетики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тепловой энергии соответствующие санитарным нормам, определяющим температуру воздуха в жилых помещениях – круглосуточно в течение отопительного сезона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тепловой энергии потребителям соответствующей стандартам услуг</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задаваемого тепловыми сетями температурного графика (для энергопроизводящих станций и котельных)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2</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водоснабжения и (или) водоотведения в год</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магистральных (распределительных) сетей, нуждающихся в замене (в процентах)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энергосберегающих насосных оборудований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2.1</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водоснабжения орошаемого земледелия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в соответствии с планом водораспределения, разработанного с учетом лимита водопользования и водности года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водохозяйственных сооружений, каналов, трубопроводов (увеличение доли сооружений, приведенных в безопасное техническое состояние)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коэффициента полезного действия водовода (канала и других)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3</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электроэнергетики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недопоставленная электроэнергия, среднее время прерывания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длительности прерываний в работе системы;</w:t>
            </w:r>
            <w:r>
              <w:br/>
            </w:r>
            <w:r>
              <w:rPr>
                <w:rFonts w:ascii="Times New Roman"/>
                <w:b w:val="false"/>
                <w:i w:val="false"/>
                <w:color w:val="000000"/>
                <w:sz w:val="20"/>
              </w:rPr>
              <w:t>средний индекс частоты прерываний в работе системы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энергосберегающих оборудований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0"/>
          <w:p>
            <w:pPr>
              <w:spacing w:after="20"/>
              <w:ind w:left="20"/>
              <w:jc w:val="both"/>
            </w:pPr>
            <w:r>
              <w:rPr>
                <w:rFonts w:ascii="Times New Roman"/>
                <w:b w:val="false"/>
                <w:i w:val="false"/>
                <w:color w:val="000000"/>
                <w:sz w:val="20"/>
              </w:rPr>
              <w:t>
4</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гражданской авиации и портов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обоснованных задержек рейсов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задержек на один рейс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предпосылка к авиационному происшествию по вине аэропорта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происшествий на взлетно-посадочной полосе на тысячу взлетно-посадочных операций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происшествий на взлетно-посадочной полосе со смертельным исходом на тысячу взлетно-посадочных операций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происшествий на тысячу часов работы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несанкционированного занятия взлетно-посадочной полосы на тысячу взлетно-посадочных операций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столкновений с птицами на взлетно-посадочных операций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возможной пропускной способности на фактическую пропускную способность аэропорта (количество ежедневных взлетно-посадочных операций)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сокращению затрат (оптимизация)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5</w:t>
            </w:r>
          </w:p>
          <w:bookmarkEnd w:id="41"/>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распределительным трубопроводам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эксплуатационной надежности газоснабжающих сооружений (увеличение доли сооружений, приведенных в безопасное техническое состояние)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аварий в расчете на протяженность сетей в год</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2"/>
          <w:p>
            <w:pPr>
              <w:spacing w:after="20"/>
              <w:ind w:left="20"/>
              <w:jc w:val="both"/>
            </w:pPr>
            <w:r>
              <w:rPr>
                <w:rFonts w:ascii="Times New Roman"/>
                <w:b w:val="false"/>
                <w:i w:val="false"/>
                <w:color w:val="000000"/>
                <w:sz w:val="20"/>
              </w:rPr>
              <w:t>
6</w:t>
            </w:r>
          </w:p>
          <w:bookmarkEnd w:id="42"/>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транспортировки товарного газа по магистральным трубопроводам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товарного газа потребителям требуемых параметров, согласно СН РК 4.03-01-2011 (давление и теплотворная способность) круглогодично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бесперебойная подача товарного газа потребителям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(или) увеличение пропускной способности газотранспортной системы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