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cdd8" w14:textId="597c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марта 2016 года № 6С-2/7. Зарегистрировано Департаментом юстиции Акмолинской области 4 мая 2016 года № 5335. Утратило силу решением Степногорского городского маслихата Акмолинской области от 21 февраля 2017 года № 6С-16/9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Степногорского городского маслихата Акмолинской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6С-16/9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Степногорского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6С-2/7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государственного учреждения "Аппарат Степногорского городского маслихата"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(далее – Методика) государственного учреждения "Аппарат Степногорского городского маслихата" (далее – аппарат городского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Типовая методика), утвержденной приказом Министра по делам государственной службы Республики Казахстан от 29 декабря 2015 года № 13 (зарегистрировано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специалист аппарата городского маслихата в должностные обязанности которого входит ведение кадровой работы аппарата городского маслихата (далее – секретарь Комиссии).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городского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Секретарь Комиссии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нарушения сроков исполнения поручений вышестоящих органов, руководства государственного органа, непосредственного руководителя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секретаря Комиссии,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секретарем Комиссии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Секретарь Комиссии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– штрафные баллы.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баллов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секретарем Комиссии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 4 до 5 баллов – "эффективно",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