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5f4a" w14:textId="6105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Аккольского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27 апреля 2016 года № С 2-4. Зарегистрировано Департаментом юстиции Акмолинской области 25 мая 2016 года № 5380. Утратило силу решением Аккольского районного маслихата Акмолинской области от 7 февраля 2017 года № С 9-3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Аккольского районного маслихата Акмолинской области от 07.02.2017 </w:t>
      </w:r>
      <w:r>
        <w:rPr>
          <w:rFonts w:ascii="Times New Roman"/>
          <w:b w:val="false"/>
          <w:i w:val="false"/>
          <w:color w:val="ff0000"/>
          <w:sz w:val="28"/>
        </w:rPr>
        <w:t>№ С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Аккольского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государственного учреждения "Аппарат Аккольского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2 - 4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</w:t>
      </w:r>
      <w:r>
        <w:br/>
      </w:r>
      <w:r>
        <w:rPr>
          <w:rFonts w:ascii="Times New Roman"/>
          <w:b/>
          <w:i w:val="false"/>
          <w:color w:val="000000"/>
        </w:rPr>
        <w:t>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Аккольского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"Б", утвержденной Приказом Министра по делам государственной службы Республики Казахстан от 29 декабря 2015 года № 13 (зарегистрирован в Министерстве юстиции Республики Казахстан 31 декабря 2015 года № 12705),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документационное обеспечение которой осуществляет руководитель организационного отдела аппарата Аккольского районного маслихата (далее – руководитель отдела).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руководитель отдела.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руководителю отдела.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Руководитель отдела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органам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государственного органа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работника кадровой службы,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работником кадровой службой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аппарате,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работником кадровой службы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работнику кадровой службы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Работник кадровой службы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руководителем отдела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Работник кадровой службы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Работник кадровой службы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Работник кадровой службы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работника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</w:p>
        </w:tc>
      </w:tr>
    </w:tbl>
    <w:bookmarkStart w:name="z1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rPr>
          <w:rFonts w:ascii="Times New Roman"/>
          <w:b/>
          <w:i w:val="false"/>
          <w:color w:val="000000"/>
        </w:rPr>
        <w:t xml:space="preserve"> государственного служащего корпуса "Б"</w:t>
      </w:r>
    </w:p>
    <w:bookmarkEnd w:id="10"/>
    <w:bookmarkStart w:name="z1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6267"/>
        <w:gridCol w:w="2908"/>
      </w:tblGrid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* –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79"/>
        <w:gridCol w:w="6221"/>
      </w:tblGrid>
      <w:tr>
        <w:trPr>
          <w:trHeight w:val="30" w:hRule="atLeast"/>
        </w:trPr>
        <w:tc>
          <w:tcPr>
            <w:tcW w:w="6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bookmarkStart w:name="z1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 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cлужащего:____________________________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2050"/>
        <w:gridCol w:w="1584"/>
        <w:gridCol w:w="1319"/>
        <w:gridCol w:w="2316"/>
        <w:gridCol w:w="2117"/>
        <w:gridCol w:w="1585"/>
        <w:gridCol w:w="586"/>
      </w:tblGrid>
      <w:tr>
        <w:trPr>
          <w:trHeight w:val="3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показател-ях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исполни-тельской дисципли-ны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дисципли-ны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07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127"/>
              <w:gridCol w:w="6173"/>
            </w:tblGrid>
            <w:tr>
              <w:trPr>
                <w:trHeight w:val="30" w:hRule="atLeast"/>
              </w:trPr>
              <w:tc>
                <w:tcPr>
                  <w:tcW w:w="61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Служащий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Ф.И.О.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(при его наличии)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подпись 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Непосредственный руководитель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Ф.И.О.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(при его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наличии)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подпись 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8"/>
    <w:bookmarkStart w:name="z1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1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07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127"/>
              <w:gridCol w:w="6173"/>
            </w:tblGrid>
            <w:tr>
              <w:trPr>
                <w:trHeight w:val="30" w:hRule="atLeast"/>
              </w:trPr>
              <w:tc>
                <w:tcPr>
                  <w:tcW w:w="61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Служащий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Ф.И.О.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(при его наличии)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 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Непосредственный руководитель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Ф.И.О.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(при его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наличии)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 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2"/>
    <w:bookmarkStart w:name="z19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bookmarkStart w:name="z19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bookmarkStart w:name="z2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8"/>
    <w:bookmarkStart w:name="z2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4005"/>
        <w:gridCol w:w="1795"/>
        <w:gridCol w:w="4005"/>
        <w:gridCol w:w="1015"/>
      </w:tblGrid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