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0d77" w14:textId="5760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4 апреля 2016 года № 2-9. Зарегистрировано Департаментом юстиции Акмолинской области 4 мая 2016 года № 5334. Утратило силу решением Зерендинского районного маслихата Акмолинской области от 6 февраля 2017 года № 10-84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Зерендинского районного маслихата Акмолинской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10-84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Зерендинского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Зерендинского районного маслихата Акмолинской области"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Министра по делам государственной службы Республики Казахстан от 29 декабря 2015 года № 13 (зарегистрировано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специалист аппарата районного маслихата в должностные обязанности которого входит ведение кадровой работы аппарата районного маслихата (далее – 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Ʃ кв =100+а–в,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Ʃ 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в- штрафные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баллов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Ʃ год = 0,3* Ʃ кв+0,6* Ʃ ИП+0,1* Ʃ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Ʃ 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Ʃ 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ƩИП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Ʃ 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при расчете результата оценки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