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11ef" w14:textId="5ae1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приоритетных направлений расходов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15 сентября 2016 года № а-9/366. Зарегистрировано Департаментом юстиции Акмолинской области 13 октября 2016 года № 5566.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приказом Министра финансов Республики Казахстан от 4 декабря 2014 года № 540 (зарегистрирован в Реестре государственной регистрации нормативных правовых актов № 9934),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Бурабайского района Акмолинской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приоритетных направлений расходов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Муратова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15 " 09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а-9/366 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направлений расходов районного бюджета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Выплата заработной платы и других денежных выплат, в том числе заработная плата технического персонала и все удержания из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Денежные компенсации, предусмотренные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Алименты, обязательные пенсионные взносы, добровольные пенсионные взносы, социальные отчисления, пособия и другие социальные выплаты, стипендии.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Оплата банковских услуг, выплаты по погашению и обслуживанию долговых обязательств, бюджетные субвенции, налоги и другие обязательные платежи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Расходы на приобретение топлива (в части отопления зданий), услуг по организации питания, приобретение продуктов питания и медикаментов.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Исполнение исполнительных документов и судебных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Расходы производимые за счет целевых трансфертов и бюджетные кредиты из вышестоящих бюджетов.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