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df88" w14:textId="4d0d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единых ставок фиксированного налога по городу Капшагай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Капшагайского городского маслихата Алматинской области от 30 ноября 2016 года № 14-48. Зарегистрировано Департаментом юстиции Алматинской 4 января 2017 года № 4058. Утратило силу решением Капшагайского городского маслихата от 26 июня 2018 года № 36-161</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Капшагайского городского маслихата от 26.06.2018 </w:t>
      </w:r>
      <w:r>
        <w:rPr>
          <w:rFonts w:ascii="Times New Roman"/>
          <w:b w:val="false"/>
          <w:i w:val="false"/>
          <w:color w:val="000000"/>
          <w:sz w:val="28"/>
        </w:rPr>
        <w:t>№ 36-161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422 Кодекса Республики Казахстан от 10 декабря 2008 года "О налогах и других обязательных платежах в бюджет (Налоговый Кодекс)", Капшагайский городской маслихат </w:t>
      </w:r>
      <w:r>
        <w:rPr>
          <w:rFonts w:ascii="Times New Roman"/>
          <w:b/>
          <w:i w:val="false"/>
          <w:color w:val="000000"/>
          <w:sz w:val="28"/>
        </w:rPr>
        <w:t>РЕШИЛ</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Установить в пределах утвержденных базовых ставок единые ставки фиксированного налога для всех налогоплательщиков, осуществляющих деятельность на территории города Капшагай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республиканского государственного учреждения "Управление государственных доходов по городу Капшагай Департамента государственных доходов по Алматинской области комитета государственных доходов Министерства финансов Республики Казахстан" Нургазиева Сагдата Шатановича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городского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городского маслихата "По социально-экономическому развитию, бюджету, производству, развитию малого и среднего предпринимательства".</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Капшагайского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Акылтаев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Капшагайского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от 30 ноября 2016 года № 14-48 "Об утановлении единых ставок фиксированного налога по городу Капшагай"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5873"/>
        <w:gridCol w:w="4932"/>
      </w:tblGrid>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
          <w:p>
            <w:pPr>
              <w:spacing w:after="20"/>
              <w:ind w:left="20"/>
              <w:jc w:val="both"/>
            </w:pPr>
            <w:r>
              <w:rPr>
                <w:rFonts w:ascii="Times New Roman"/>
                <w:b w:val="false"/>
                <w:i w:val="false"/>
                <w:color w:val="000000"/>
                <w:sz w:val="20"/>
              </w:rPr>
              <w:t>
№ п/п</w:t>
            </w:r>
          </w:p>
          <w:bookmarkEnd w:id="1"/>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налогообложения</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единых ставок фиксированного налога (в месячных расчетных показателях)</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
          <w:p>
            <w:pPr>
              <w:spacing w:after="20"/>
              <w:ind w:left="20"/>
              <w:jc w:val="both"/>
            </w:pPr>
            <w:r>
              <w:rPr>
                <w:rFonts w:ascii="Times New Roman"/>
                <w:b w:val="false"/>
                <w:i w:val="false"/>
                <w:color w:val="000000"/>
                <w:sz w:val="20"/>
              </w:rPr>
              <w:t>
1</w:t>
            </w:r>
          </w:p>
          <w:bookmarkEnd w:id="2"/>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Игровой автомат без выигрыша, предназначенный для проведения игры с одним игроком</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3"/>
          <w:p>
            <w:pPr>
              <w:spacing w:after="20"/>
              <w:ind w:left="20"/>
              <w:jc w:val="both"/>
            </w:pPr>
            <w:r>
              <w:rPr>
                <w:rFonts w:ascii="Times New Roman"/>
                <w:b w:val="false"/>
                <w:i w:val="false"/>
                <w:color w:val="000000"/>
                <w:sz w:val="20"/>
              </w:rPr>
              <w:t>
2</w:t>
            </w:r>
          </w:p>
          <w:bookmarkEnd w:id="3"/>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Игровой автомат без выигрыша, предназначенный для проведения игры с участием более одного игрока </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4"/>
          <w:p>
            <w:pPr>
              <w:spacing w:after="20"/>
              <w:ind w:left="20"/>
              <w:jc w:val="both"/>
            </w:pPr>
            <w:r>
              <w:rPr>
                <w:rFonts w:ascii="Times New Roman"/>
                <w:b w:val="false"/>
                <w:i w:val="false"/>
                <w:color w:val="000000"/>
                <w:sz w:val="20"/>
              </w:rPr>
              <w:t>
3</w:t>
            </w:r>
          </w:p>
          <w:bookmarkEnd w:id="4"/>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Персональный компьютер, используемый для проведения игры </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4</w:t>
            </w:r>
          </w:p>
          <w:bookmarkEnd w:id="5"/>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Игровая дорожка</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5</w:t>
            </w:r>
          </w:p>
          <w:bookmarkEnd w:id="6"/>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 </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6</w:t>
            </w:r>
          </w:p>
          <w:bookmarkEnd w:id="7"/>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Бильярдный стол</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