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4f20" w14:textId="b424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25 апреля 2016 года № 3-14. Зарегистрировано Департаментом юстиции Алматинской области 26 мая 2016 года № 3852. Утратило силу решением Аксуского районного маслихата Алматинской области от 26 июля 2019 года № 49-230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49-230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статьи 386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/>
          <w:i w:val="false"/>
          <w:color w:val="000000"/>
          <w:sz w:val="28"/>
        </w:rPr>
        <w:t xml:space="preserve"> статьи 444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10 декабря 2008 года "О налогах и других обязательных платежах в бюджет (Налоговый кодекс)", Аксуский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Аксускому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Аксуского районного маслихата Усенова Нурбола Каметкалиевича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Аксуского районного маслихата "Экономического и территориального развития, промышленной отрасли, аграрной-экологической, предпринимательской, коммунальной службы".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Сексенбаева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