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7fb8" w14:textId="2297f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25 июня 2015 года № 133 "Об утверждении регламентов государственных услуг, оказываемых в сфере семьи и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апреля 2016 года № 137. Зарегистрировано Департаментом юстиции Жамбылской области 20 мая 2016 года № 3082. Утратило силу постановлением акимата Жамбылской области от 20 августа 2020 года №189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25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услуг, оказываемых в сфере семьи и детей" (зарегистрированое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2711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августа 2015 года в газете "Знамя труда") следующие изменения: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выплаты денежных средств на содержание ребенка (детей), переданного патронатным воспитателям",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образования акимата Жамбылской области"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на официальное опубликование;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акимата Жамбылской области.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области Е.Манжуова.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133</w:t>
            </w:r>
          </w:p>
        </w:tc>
      </w:tr>
    </w:tbl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в соответствии со стандартом государственной услуги "Назначение выплаты денежных средств на содержание ребенка (детей), переданного патронатным воспитателям",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акиматов города Тараз и районов области (далее – услугодатель).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 и (или)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 согласно приложению 2 к стандарту.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rPr>
          <w:rFonts w:ascii="Times New Roman"/>
          <w:b/>
          <w:i w:val="false"/>
          <w:color w:val="000000"/>
        </w:rPr>
        <w:t xml:space="preserve"> (работников) услугодателя в процессе оказания государственной услуги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пункте 9 стандарта (далее – документы).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документов с резолюцией для исполнения – 1 (один) рабочий день;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3 (три) рабочих дней;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15 (пятнадцать) минут.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документов с резолюцией для исполнения – 1 (один) рабочий день;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3 (три) рабочих дней;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15 (пятнадцать) минут.</w:t>
      </w:r>
    </w:p>
    <w:bookmarkEnd w:id="44"/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в портал и длительность обработки запроса услугополучателя указан в пункте 11 настоящего регламента.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оказание государственной услуги через Государственную корпорацию не предусмотрено.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с приложением диаграммы функционального взаимодействия информационных систем, задействованных в оказании государственной услуги: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пароля (осуществляется для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незарегистрированных услугополучателей на портале);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авторизации, в связи с имеющимися нарушениями в данных услугополучателя;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электронной цифровой подписи получателя;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стандарта, и основания для оказания государственной услуги;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использования информационных систем в процессе оказания государственной услуги отражается в диаграмме функционального взаимодействия информационных систем, согласно приложению 1 к настоящему регламенту, а также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"Назначение выплаты денежных средств на содержание ребенка (детей), переданного патронатным воспитателям" через портал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621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(детей), переданного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патронатным воспитателям"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выплаты денежных средств на содержание ребенка (детей), переданного патронатным воспитателям" через портал и услугодателя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69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9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1"/>
    <w:p>
      <w:pPr>
        <w:spacing w:after="0"/>
        <w:ind w:left="0"/>
        <w:jc w:val="both"/>
      </w:pPr>
      <w:r>
        <w:drawing>
          <wp:inline distT="0" distB="0" distL="0" distR="0">
            <wp:extent cx="63246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46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 от 25 апреля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2015 года № 133</w:t>
            </w:r>
          </w:p>
        </w:tc>
      </w:tr>
    </w:tbl>
    <w:bookmarkStart w:name="z8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</w:t>
      </w:r>
    </w:p>
    <w:bookmarkEnd w:id="72"/>
    <w:bookmarkStart w:name="z8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"Назначение единовременной денежной выплаты в связи с усыновлением ребенка-сироты и (или) ребенка, оставшегося без попечения родителей" (далее – государственная услуга) оказывается в соответствии со стандартом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родителей", утвержденным приказом Министра образования и науки Республики Казахстан от 13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услуг, оказываемых в сфере семьи и детей"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11184</w:t>
      </w:r>
      <w:r>
        <w:rPr>
          <w:rFonts w:ascii="Times New Roman"/>
          <w:b w:val="false"/>
          <w:i w:val="false"/>
          <w:color w:val="000000"/>
          <w:sz w:val="28"/>
        </w:rPr>
        <w:t>) (далее – стандарт) отделами образования акиматов города Тараз и районов области (далее – услугодатель).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- портал).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2. Форма оказания государственной услуги – электронная (полностью автоматизированная) и (или) бумажная. 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решение о назначении единовременной денежной выплаты в связи с усыновлением ребенка-сироты и (или) ребенка, оставшегося без попечения родителей по форме согласно приложению 2 к стандарту.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 (или) бумажная.</w:t>
      </w:r>
    </w:p>
    <w:bookmarkEnd w:id="80"/>
    <w:bookmarkStart w:name="z9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документов, указанных в пункте 9 стандарта (далее – документы).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руководителем услугодателя ответственному работнику документов с резолюцией для исполнения – 1 (один) рабочий день;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8 (восемь) рабочих дней;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15 (пятнадцать) минут.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с входящим номером;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 руководителя услугодателя;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государственной услуги;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подписанный результат государственной услуги;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услугополучателю.</w:t>
      </w:r>
    </w:p>
    <w:bookmarkEnd w:id="94"/>
    <w:bookmarkStart w:name="z10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работник услугодателя;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направление документов работником канцелярии руководителю услугодателя – 15 (пятнадцать) минут;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руководителем услугодателя ответственному работнику 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с резолюцией для исполнения – 1 (один) рабочий день;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работником результата государственной услуги и направление его руководителю услугодателя для подписания – 8 (восемь) рабочих дней;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и направление результата государственной услуги руководителем услугодателя работнику канцелярии для направления услугополучателю – 1 (один) рабочий день;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государственной услуги услугополучателю – 15 (пятнадцать) минут.</w:t>
      </w:r>
    </w:p>
    <w:bookmarkEnd w:id="106"/>
    <w:bookmarkStart w:name="z12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обращения в портал и длительность обработки запроса услугополучателя указан в пункте 11 настоящего регламента.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стандартом, оказание государственной услуги через Государственную корпорацию не предусмотрено.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с приложением диаграммы функционального взаимодействия информационных систем, задействованных в оказании государственной услуги: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индивидуального идентификационного номера и пароля (осуществляется для 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незарегистрированных услугополучателей на портале);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пункте 9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индивидуальным идентификационным номером, указанным в запросе, и индивидуальным идентификационным номером, указанным в регистрационном свидетельстве электронной цифровой подписи);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неподтверждением подлинности электронной цифровой подписи получателя;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5 - удостоверение запроса для оказания государственной услуги посредством электронной цифровой подписи услугополучателя и направление электронного документа (запроса) через шлюз "электронного правительства" в автоматизированное рабочее место регионального шлюза "электронного правительства" для обработки услугодателя;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регистрация электронного документа в автоматизированном рабочем месте регионального шлюза "электронного правительства";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3 - проверка (обработка) услугодателем на соответствие приложенных услугополучателем документов, указанных в пункте 9 стандарта, и основания для оказания государственной услуги;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государственной услуги (справки в форме электронного документа), сформированного в автоматизированном рабочем месте регионального шлюза "электронного правительства". Электронный документ формируется с использованием электронной цифровой подписи уполномоченного лица услугодателя.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использования информационных систем в процессе оказания государственной услуги отражается в диаграмме функционального взаимодействия информационных систем, согласно приложению 1 к настоящему регламенту, а также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 - www.egov.kz, интернет–ресурсах услугодателя.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денежной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ребенка-сироты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попечения родителей"</w:t>
            </w:r>
          </w:p>
        </w:tc>
      </w:tr>
    </w:tbl>
    <w:bookmarkStart w:name="z14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через портал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8"/>
    <w:p>
      <w:pPr>
        <w:spacing w:after="0"/>
        <w:ind w:left="0"/>
        <w:jc w:val="both"/>
      </w:pPr>
      <w:r>
        <w:drawing>
          <wp:inline distT="0" distB="0" distL="0" distR="0">
            <wp:extent cx="78105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3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Таблица. Условные обозначения: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0"/>
    <w:p>
      <w:pPr>
        <w:spacing w:after="0"/>
        <w:ind w:left="0"/>
        <w:jc w:val="both"/>
      </w:pPr>
      <w:r>
        <w:drawing>
          <wp:inline distT="0" distB="0" distL="0" distR="0">
            <wp:extent cx="7810500" cy="6223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"Назначение единовременной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денежной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усыновлением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ребенка-сироты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попечения родителей"</w:t>
            </w:r>
          </w:p>
        </w:tc>
      </w:tr>
    </w:tbl>
    <w:bookmarkStart w:name="z14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"Назначение единовременной денежной выплаты в связи с усыновлением ребенка-сироты и (или) ребенка, оставшегося без попечения родителей" через портал и услугодателя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2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3"/>
    <w:p>
      <w:pPr>
        <w:spacing w:after="0"/>
        <w:ind w:left="0"/>
        <w:jc w:val="both"/>
      </w:pPr>
      <w:r>
        <w:drawing>
          <wp:inline distT="0" distB="0" distL="0" distR="0">
            <wp:extent cx="6248400" cy="256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256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