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df433" w14:textId="d0df4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23 мая 2016 года № 35/02. Зарегистрировано Департаментом юстиции Карагандинской области 13 июня 2016 года № 3854. Утратило силу постановлением акимата Карагандинской области от 26 мая 2020 года № 33/02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26.05.2020 № 33/02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21 января 2016 года № 25 "О внесении изменении в приказ исполняющего обязанности Министра национальной экономики Республики Казахстан от 27 марта 2015 года № 276 "Об утверждении стандартов государственных услуг в сфере архитектуры, градостроительства и строительства" (зарегистрирован в Реестре государственной регистрации нормативных правовых актов № 13151)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 (зарегистрировано в Реестре государственной регистрации нормативных правовых актов № 3352, опубликовано в газете "Орталық Қазақстан" от 6 августа 2015 года № 123-124 (22 009), в газете "Индустриальная Караганда" от 6 августа 2015 года № 108-109 (21859-21860), в информационно-правовой системе "Әділет" 7 августа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изыскательскую деятельность",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-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регистрация запроса на получение государственных услуг, поступивших через портал напрямую от услугополучателей или через Государственную корпорацию в Информационной системе "Государственная база данных "Е-лицензирование" (информационная система) (далее - запрос) уполномоченным сотрудником структурного подразделения услугодателя в день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по месту регистрации.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Государственной корпорации – не более 20 минут";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сроки отправки запроса услугополучателя из Государственной корпорации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получения государственной услуги услугополучатель представляет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Описание процесса получения результата оказания государственной услуги через Государственную корпорацию,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выдачи результата оказания государственной услуги услугополучателю в Государственной корпорации – не более 20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Пошаговые действия и решения через информационную систему Государственной корпорации (далее - ИСГК) (диаграмма № 2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оператора Государственной корпорации в автоматизированном рабочем месте ИСГК (далее – АРМ ИСГК)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Государственной корпорации, указанной в настоящем регламенте, вывод на экран формы запроса для оказания услуги и ввод оператором Государственной корпорацииданных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получателя) удостоверенного (подписанного) ЭЦП оператора Государственной корпорации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организации строительства жилых зданий за счет привлечения денег дольщиков",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-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регистрация запроса на получение государственных услуг, поступивших через портал напрямую от услугополучателей или через Государственную корпорацию в Информационной системе "Государственная база данных "Е-лицензирование" (информационная система) (далее - запрос) уполномоченным сотрудником структурного подразделения услугодателя в день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по месту регистрации. Прием в Государственную корпорацию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Государственной корпорации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сроки отправки запроса услугополучателя из Государственной корпорации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получения государственной услуги услугополучатель представляет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Описание процесса получения результата оказания государственной услуги через Государственную корпорацию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длительность выдачи результата оказания государственной услуги услугополучателю в государственной корпорации – не более 20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Пошаговые действия и решения через информационную систему Государственной корпорации (далее - ИСГК) (диаграмма № 2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оператора Государственной корпорации в автоматизированном рабочем месте ИСГК (далее – АРМ ИСГК)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получателя) удостоверенного (подписанного) ЭЦП оператора Государственной корпорации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проектную деятельность",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-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регистрация запроса на получение государственных услуг, поступивших через портал напрямую от услугополучателей или через государственную корпорацию в Информационной системе "Государственная база данных "Е-лицензирование" (информационная система) (далее - запрос) уполномоченным сотрудником структурного подразделения услугодателя в день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Описание порядка обращения в Государственной корпорации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по месту регистрации. Прием в Государственной корпорации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Государственной корпорации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сроки отправки запроса услугополучателя из Государственной корпорации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получения государственной услуги услугополучатель представляет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Описание процесса получения результата оказания государственной услуги через Государственную корпорацию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длительность выдачи результата оказания государственной услуги услугополучателю в Государственной корпорации – не более 20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Пошаговые действия и решения через информационную систему Государственной корпорации (далее - ИСГК) (диаграмма № 2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оператора государственной корпорации в автоматизированном рабочем месте ИСГК ЦОН (далее – АРМ ИСГК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получателя) удостоверенного (подписанного) ЭЦП оператора Государственной корпорации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строительно-монтажные работы",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Некоммерческое акционерное общество "Государственная корпорация "Правительство для граждан" (далее - Государственная корпорация);";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 регистрация запроса на получение государственных услуг, поступивших через портал напрямую от услугополучателей или через Государственную корпорацию в Информационной системе "Государственная база данных "Е-лицензирование" (информационная система) (далее - запрос) уполномоченным сотрудником структурного подразделения услугодателя в день поступления.";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абзац второй </w:t>
      </w:r>
      <w:r>
        <w:rPr>
          <w:rFonts w:ascii="Times New Roman"/>
          <w:b w:val="false"/>
          <w:i w:val="false"/>
          <w:color w:val="000000"/>
          <w:sz w:val="28"/>
        </w:rPr>
        <w:t>подпункта 7)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приведены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"9. Описание порядка обращения в Государственную корпорацию и (или) к иным услугодателям, длительность обработки запроса услугополучателя: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услуги услугополучатель обращается в Государственную корпорацию по месту регистрации. Прием в Государственную корпорацию осуществляется в порядке "электронной очереди" без ускоренного обслуживания. При желании услугополучателя возможно "бронирование" электронной очереди посредством портала;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обработки запроса услугополучателя в Государственной корпорации – не более 20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сроки отправки запроса услугополучателя из Государственной корпорации в структурное подразделение услугодателя – сразу после принятия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для получения государственной услуги услугополучатель представляет перечень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"10. Описание процесса получения результата оказания государственной услуги через Государственную корпорацию обслуживания населения, его длительность: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для получения результата оказания государственной услуги услугополучатель с распиской, которая была ему вручена при подаче заявления, обращается в Государственную корпорацию;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длительность выдачи результата оказания государственной услуги услугополучателю в Государственной корпорации – не более 20 минут.";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"12. Пошаговые действия и решения через информационную систему Государственной корпорации (далее - ИСГК) (диаграмма № 2 функционального взаимодействия при оказании электронной государственной услуги)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процесс 1 – ввод оператора Государственной корпорации в автоматизированном рабочем месте ИСГК ЦОН (далее – АРМ ИСГК ЦОН)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процесс 2 – выбор оператором Государственной корпорации услуги, указанной в настоящем Регламенте, вывод на экран формы запроса для оказания услуги и ввод оператором Государственной корпорации данных получателя, а также данных по доверенности представителя получателя (при нотариально удостоверенной доверенности, при ином удостоверении доверенности-данные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процесс 3 – направление запроса через шлюз электронного правительства (далее - ШЭП) в государственную базу данных физических лиц (далее – ГБД ФЛ)/государственную базу данных юридических лиц (далее – ГБД ЮЛ) о данных получателя, а также в единую нотариальную информационную систему (далее – ЕНИС) – о данных доверенности представителя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условие 1 – проверка наличия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процесс 5 – заполнение оператором Государственной корпорации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 процесс 6 - направление электронного документа (запроса получателя) удостоверенного (подписанного) ЭЦП оператора Государственной корпорации через ШЭП на портал;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 процесс 7 – регистрация и обработка запроса на портале;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 условие 2 – проверка услугодателем соответствия получателя квалификационным требованиям и основаниям для выдачи лицензии;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 процесс 8 – формирование сообщения об отказе в запрашиваемой услуге в связи с имеющимися нарушениями в данных получателя на портале на основании заключения;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 процесс 9 – получение получателем результата услуги (электронная лицензия) сформированной на портале. Электронный документ формируется с использованием ЭЦП уполномоченного лица услугодателя.";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корпорацией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Карагандинской области от 11 апреля 2016 гда № 24/09 "О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первого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Постановление акимата Карагандинской области "О внесении изменений в постановление акимата Карагандинской области от 30 июня 2015 года № 35/04 "Об утверждении регламентов государственных услуг в сфере архитектуры, градостроительства и строительства"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Карагандинскойобласти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 05. 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изыскательскую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деятельность".</w:t>
            </w:r>
          </w:p>
        </w:tc>
      </w:tr>
    </w:tbl>
    <w:bookmarkStart w:name="z15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bookmarkEnd w:id="1"/>
    <w:bookmarkStart w:name="z157" w:id="2"/>
    <w:p>
      <w:pPr>
        <w:spacing w:after="0"/>
        <w:ind w:left="0"/>
        <w:jc w:val="left"/>
      </w:pP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7810500" cy="377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5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3"/>
    <w:bookmarkStart w:name="z159" w:id="4"/>
    <w:p>
      <w:pPr>
        <w:spacing w:after="0"/>
        <w:ind w:left="0"/>
        <w:jc w:val="left"/>
      </w:pP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323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6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5"/>
    <w:bookmarkStart w:name="z16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6604000" cy="601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от 23. 05. 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регламенту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изыскательскую деятельность"</w:t>
            </w:r>
          </w:p>
        </w:tc>
      </w:tr>
    </w:tbl>
    <w:bookmarkStart w:name="z16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изыскательскую деятельность"</w:t>
      </w:r>
    </w:p>
    <w:bookmarkEnd w:id="7"/>
    <w:bookmarkStart w:name="z16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8"/>
    <w:bookmarkStart w:name="z1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620000" cy="678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0"/>
    <w:bookmarkStart w:name="z16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226300" cy="2997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26300" cy="299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 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 строительства жилых зданий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привлечения денег дольщиков"</w:t>
            </w:r>
          </w:p>
        </w:tc>
      </w:tr>
    </w:tbl>
    <w:bookmarkStart w:name="z17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bookmarkEnd w:id="12"/>
    <w:bookmarkStart w:name="z172" w:id="13"/>
    <w:p>
      <w:pPr>
        <w:spacing w:after="0"/>
        <w:ind w:left="0"/>
        <w:jc w:val="left"/>
      </w:pP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3454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14"/>
    <w:bookmarkStart w:name="z174" w:id="15"/>
    <w:p>
      <w:pPr>
        <w:spacing w:after="0"/>
        <w:ind w:left="0"/>
        <w:jc w:val="left"/>
      </w:pP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339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7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6"/>
    <w:bookmarkStart w:name="z17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"/>
    <w:p>
      <w:pPr>
        <w:spacing w:after="0"/>
        <w:ind w:left="0"/>
        <w:jc w:val="both"/>
      </w:pPr>
      <w:r>
        <w:drawing>
          <wp:inline distT="0" distB="0" distL="0" distR="0">
            <wp:extent cx="58674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услуги" Выдача лицензии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деятельность по организации строительства жилых зданий за счет привлечения денег дольщиков"</w:t>
            </w:r>
          </w:p>
        </w:tc>
      </w:tr>
    </w:tbl>
    <w:bookmarkStart w:name="z17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 xml:space="preserve">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организации строительства</w:t>
      </w:r>
      <w:r>
        <w:br/>
      </w:r>
      <w:r>
        <w:rPr>
          <w:rFonts w:ascii="Times New Roman"/>
          <w:b/>
          <w:i w:val="false"/>
          <w:color w:val="000000"/>
        </w:rPr>
        <w:t>жилых зданий за счет привлечения денег дольщиков"</w:t>
      </w:r>
    </w:p>
    <w:bookmarkEnd w:id="18"/>
    <w:bookmarkStart w:name="z18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9"/>
    <w:bookmarkStart w:name="z18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0"/>
    <w:p>
      <w:pPr>
        <w:spacing w:after="0"/>
        <w:ind w:left="0"/>
        <w:jc w:val="both"/>
      </w:pPr>
      <w:r>
        <w:drawing>
          <wp:inline distT="0" distB="0" distL="0" distR="0">
            <wp:extent cx="73787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3787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1"/>
    <w:bookmarkStart w:name="z18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2"/>
    <w:p>
      <w:pPr>
        <w:spacing w:after="0"/>
        <w:ind w:left="0"/>
        <w:jc w:val="both"/>
      </w:pPr>
      <w:r>
        <w:drawing>
          <wp:inline distT="0" distB="0" distL="0" distR="0">
            <wp:extent cx="7340600" cy="313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4060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услуги" Выдача лицензии на проектную деятельность"</w:t>
            </w:r>
          </w:p>
        </w:tc>
      </w:tr>
    </w:tbl>
    <w:bookmarkStart w:name="z18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bookmarkEnd w:id="23"/>
    <w:bookmarkStart w:name="z187" w:id="24"/>
    <w:p>
      <w:pPr>
        <w:spacing w:after="0"/>
        <w:ind w:left="0"/>
        <w:jc w:val="left"/>
      </w:pPr>
    </w:p>
    <w:bookmarkEnd w:id="24"/>
    <w:p>
      <w:pPr>
        <w:spacing w:after="0"/>
        <w:ind w:left="0"/>
        <w:jc w:val="both"/>
      </w:pPr>
      <w:r>
        <w:drawing>
          <wp:inline distT="0" distB="0" distL="0" distR="0">
            <wp:extent cx="7810500" cy="370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18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25"/>
    <w:bookmarkStart w:name="z1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6"/>
    <w:p>
      <w:pPr>
        <w:spacing w:after="0"/>
        <w:ind w:left="0"/>
        <w:jc w:val="both"/>
      </w:pPr>
      <w:r>
        <w:drawing>
          <wp:inline distT="0" distB="0" distL="0" distR="0">
            <wp:extent cx="7810500" cy="331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27"/>
    <w:bookmarkStart w:name="z1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8"/>
    <w:p>
      <w:pPr>
        <w:spacing w:after="0"/>
        <w:ind w:left="0"/>
        <w:jc w:val="both"/>
      </w:pPr>
      <w:r>
        <w:drawing>
          <wp:inline distT="0" distB="0" distL="0" distR="0">
            <wp:extent cx="5918200" cy="566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566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услуги" Выдача лицензии на проектную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деятельность"</w:t>
            </w:r>
          </w:p>
        </w:tc>
      </w:tr>
    </w:tbl>
    <w:bookmarkStart w:name="z19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</w:p>
    <w:bookmarkEnd w:id="29"/>
    <w:bookmarkStart w:name="z195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"Выдача лицензии на проектную деятельность"</w:t>
      </w:r>
    </w:p>
    <w:bookmarkEnd w:id="30"/>
    <w:bookmarkStart w:name="z1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1"/>
    <w:bookmarkStart w:name="z19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2"/>
    <w:p>
      <w:pPr>
        <w:spacing w:after="0"/>
        <w:ind w:left="0"/>
        <w:jc w:val="both"/>
      </w:pPr>
      <w:r>
        <w:drawing>
          <wp:inline distT="0" distB="0" distL="0" distR="0">
            <wp:extent cx="7493000" cy="665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493000" cy="665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33"/>
    <w:bookmarkStart w:name="z19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4"/>
    <w:p>
      <w:pPr>
        <w:spacing w:after="0"/>
        <w:ind w:left="0"/>
        <w:jc w:val="both"/>
      </w:pPr>
      <w:r>
        <w:drawing>
          <wp:inline distT="0" distB="0" distL="0" distR="0">
            <wp:extent cx="7188200" cy="290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188200" cy="290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 лицензии на строительно-монтажные работы"</w:t>
            </w:r>
          </w:p>
        </w:tc>
      </w:tr>
    </w:tbl>
    <w:bookmarkStart w:name="z202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</w:t>
      </w:r>
      <w:r>
        <w:br/>
      </w:r>
      <w:r>
        <w:rPr>
          <w:rFonts w:ascii="Times New Roman"/>
          <w:b/>
          <w:i w:val="false"/>
          <w:color w:val="000000"/>
        </w:rPr>
        <w:t>оказании государственной услуги через ПЭП</w:t>
      </w:r>
    </w:p>
    <w:bookmarkEnd w:id="35"/>
    <w:bookmarkStart w:name="z203" w:id="36"/>
    <w:p>
      <w:pPr>
        <w:spacing w:after="0"/>
        <w:ind w:left="0"/>
        <w:jc w:val="left"/>
      </w:pP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3505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0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2 функционального взаимодействия при оказании государственной услуги через услугодателя</w:t>
      </w:r>
    </w:p>
    <w:bookmarkEnd w:id="37"/>
    <w:bookmarkStart w:name="z20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8"/>
    <w:p>
      <w:pPr>
        <w:spacing w:after="0"/>
        <w:ind w:left="0"/>
        <w:jc w:val="both"/>
      </w:pPr>
      <w:r>
        <w:drawing>
          <wp:inline distT="0" distB="0" distL="0" distR="0">
            <wp:extent cx="7810500" cy="327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39"/>
    <w:bookmarkStart w:name="z20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0"/>
    <w:p>
      <w:pPr>
        <w:spacing w:after="0"/>
        <w:ind w:left="0"/>
        <w:jc w:val="both"/>
      </w:pPr>
      <w:r>
        <w:drawing>
          <wp:inline distT="0" distB="0" distL="0" distR="0">
            <wp:extent cx="5854700" cy="567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54700" cy="567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23.05.2016 года № 35/02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лицензии на строительно-монтажные работы"</w:t>
            </w:r>
          </w:p>
        </w:tc>
      </w:tr>
    </w:tbl>
    <w:bookmarkStart w:name="z21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</w:t>
      </w:r>
      <w:r>
        <w:br/>
      </w:r>
      <w:r>
        <w:rPr>
          <w:rFonts w:ascii="Times New Roman"/>
          <w:b/>
          <w:i w:val="false"/>
          <w:color w:val="000000"/>
        </w:rPr>
        <w:t>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строительно-монтажные работы"</w:t>
      </w:r>
    </w:p>
    <w:bookmarkEnd w:id="41"/>
    <w:bookmarkStart w:name="z21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государственной услуги)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42"/>
    <w:bookmarkStart w:name="z21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3"/>
    <w:p>
      <w:pPr>
        <w:spacing w:after="0"/>
        <w:ind w:left="0"/>
        <w:jc w:val="both"/>
      </w:pPr>
      <w:r>
        <w:drawing>
          <wp:inline distT="0" distB="0" distL="0" distR="0">
            <wp:extent cx="74422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4422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44"/>
    <w:bookmarkStart w:name="z21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315200" cy="311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11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header.xml" Type="http://schemas.openxmlformats.org/officeDocument/2006/relationships/header" Id="rId2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