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dd5f" w14:textId="a0ad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XXXVI сессии Актогайского районного маслихата от 11 ноября 2015 года N 338 "О дополнительном регламентировании порядка проведения мирных собраний, митингов, шествий, пикетов и демонстраций в Актогайском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39 сессии Актогайского районного маслихата Карагандинской области от 18 января 2016 года № 363. Зарегистрировано Департаментом юстиции Карагандинской области 3 февраля 2016 года № 3647. Утратило силу решением Актогайского районного маслихата Карагандинской области от 30 ноября 2020 года № 453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30.11.2020 № 453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XXXVI сессии Актогайского районного маслихата от 11 ноября 2015 года № 338 "О дополнительном регламентировании порядка проведения мирных собраний, митингов, шествий, пикетов и демонстраций в Актогайском районе" (зарегистрировано в Реестре государственной регистрации нормативных правовых актов № 3524, опубликовано в газете "Токырауын Тынысы" от 11 декабря 2015 года № 52 (7562), в информационно-правовой системе "Әділет" 30 декабря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Онгаркулов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№338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проведения мирных собраний, митингов, шествий, пикетов и</w:t>
      </w:r>
      <w:r>
        <w:br/>
      </w:r>
      <w:r>
        <w:rPr>
          <w:rFonts w:ascii="Times New Roman"/>
          <w:b/>
          <w:i w:val="false"/>
          <w:color w:val="000000"/>
        </w:rPr>
        <w:t>демонстраций в Актогайском районе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9"/>
        <w:gridCol w:w="2994"/>
        <w:gridCol w:w="3827"/>
      </w:tblGrid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перед Домом культуры 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клубом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клубом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Абай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клубом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Айыртас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клубом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8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Жидебай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клубом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Кежек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клубом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0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Кусак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клубом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1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Кызыларай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клубом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2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Караменде би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клубом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3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клубом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4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Нуркен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клубом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5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Ортадересин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клубом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6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Тасарал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клубом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7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Торангалык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клубом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8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Сарытерек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клубом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9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Шабанбай би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перед клубом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