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19e1" w14:textId="1691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Актогайского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41 сессии Актогайского районного маслихата Карагандинской области от 4 марта 2016 года № 384. Зарегистрировано Департаментом юстиции Карагандинской области 28 марта 2016 года № 3729. Утратило силу решением Актогайского районного маслихата Карагандинской области от 1 марта 2017 года N 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01.03.2017 N 104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33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07 августа 2015 года № 320 "Об утверждении Методики ежегодной оценки деятельности административных государственных служащих корпуса "Б" Актогайского районного маслихата" (зарегистрировано в Реестре государственной регистрации нормативных правовых актов за № 3394, опубликовано в информационно-правовой системе "Әділет" 11 сентября 2015 года, опубликовано в газете "Тоқырауын тынысы" № 39 (7513) от 11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Онгаркулов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04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Актогайского районного маслихата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Актогайского районного маслихата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Актогайского районного маслихата (далее – служащие корпуса "Б").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специалист аппарата Актогайского районного маслихата (далее – Секретарь комиссии).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течении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(или)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государственного органа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некачественное исполнение поручений, обращений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нарушение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комиссии сведений о фактах нарушения служащим корпуса "Б" трудовой дисциплины, рассматривает оценочной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аппарата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кв.=100+а-в,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 кв.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∑год=0,3*∑кв.+0,6*∑ИП+0,1*∑к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∑кв.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 составляет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Актогайского районного маслихата</w:t>
            </w:r>
          </w:p>
        </w:tc>
      </w:tr>
    </w:tbl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служащего корпуса "Б"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0"/>
        <w:gridCol w:w="7240"/>
      </w:tblGrid>
      <w:tr>
        <w:trPr>
          <w:trHeight w:val="30" w:hRule="atLeast"/>
        </w:trPr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Актогайского районного маслихата</w:t>
            </w:r>
          </w:p>
        </w:tc>
      </w:tr>
    </w:tbl>
    <w:bookmarkStart w:name="z1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bookmarkStart w:name="z1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1607"/>
        <w:gridCol w:w="1371"/>
        <w:gridCol w:w="1373"/>
        <w:gridCol w:w="804"/>
        <w:gridCol w:w="1308"/>
        <w:gridCol w:w="2228"/>
        <w:gridCol w:w="2230"/>
        <w:gridCol w:w="690"/>
      </w:tblGrid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Актогайского районного маслихата</w:t>
            </w:r>
          </w:p>
        </w:tc>
      </w:tr>
    </w:tbl>
    <w:bookmarkStart w:name="z1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90"/>
        <w:gridCol w:w="2435"/>
        <w:gridCol w:w="434"/>
        <w:gridCol w:w="1648"/>
        <w:gridCol w:w="3279"/>
        <w:gridCol w:w="2106"/>
      </w:tblGrid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Актогайского районного маслихата</w:t>
            </w:r>
          </w:p>
        </w:tc>
      </w:tr>
    </w:tbl>
    <w:bookmarkStart w:name="z1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bookmarkStart w:name="z17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Актогайского районного маслихата</w:t>
            </w:r>
          </w:p>
        </w:tc>
      </w:tr>
    </w:tbl>
    <w:bookmarkStart w:name="z1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bookmarkStart w:name="z19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 xml:space="preserve">)., </w:t>
      </w:r>
      <w:r>
        <w:rPr>
          <w:rFonts w:ascii="Times New Roman"/>
          <w:b w:val="false"/>
          <w:i w:val="false"/>
          <w:color w:val="000000"/>
          <w:sz w:val="28"/>
        </w:rPr>
        <w:t>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при его наличии</w:t>
      </w:r>
      <w:r>
        <w:rPr>
          <w:rFonts w:ascii="Times New Roman"/>
          <w:b w:val="false"/>
          <w:i/>
          <w:color w:val="000000"/>
          <w:sz w:val="28"/>
        </w:rPr>
        <w:t xml:space="preserve">)., </w:t>
      </w:r>
      <w:r>
        <w:rPr>
          <w:rFonts w:ascii="Times New Roman"/>
          <w:b w:val="false"/>
          <w:i w:val="false"/>
          <w:color w:val="000000"/>
          <w:sz w:val="28"/>
        </w:rPr>
        <w:t>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