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107f" w14:textId="62a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Тупкараганского района", районных исполнительных органов, финансируемых из районного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15 марта 2016 года № 48. Зарегистрировано Департаментом юстиции Мангистауской области от 26 апреля 2016 года № 3031. Утратило силу-постановлением акимата Тупкараганского района Мангистауской области от 2 февраля 2017 года № 17</w:t>
      </w:r>
    </w:p>
    <w:p>
      <w:pPr>
        <w:spacing w:after="0"/>
        <w:ind w:left="0"/>
        <w:jc w:val="left"/>
      </w:pPr>
      <w:r>
        <w:rPr>
          <w:rFonts w:ascii="Times New Roman"/>
          <w:b w:val="false"/>
          <w:i w:val="false"/>
          <w:color w:val="ff0000"/>
          <w:sz w:val="28"/>
        </w:rPr>
        <w:t xml:space="preserve">      Сноска. Утратило силу постановлением акимата Тупкараганского района Мангистауской области от 02.02.2017 </w:t>
      </w:r>
      <w:r>
        <w:rPr>
          <w:rFonts w:ascii="Times New Roman"/>
          <w:b w:val="false"/>
          <w:i w:val="false"/>
          <w:color w:val="ff0000"/>
          <w:sz w:val="28"/>
        </w:rPr>
        <w:t>№ 17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приказом Министра по делам государственной службы Республики Казахстан от 29 декабря 2015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государственных служащих" (зарегистрирован в Реестре государственной регистрации нормативных правовых актов за № 12705)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Тупкараганского района", районных исполнительных органов, финансируемых из районного бюджета.</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"Аппарат акима Тупкараганского района" (Демеуова Г.Н.)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Тупкараганского района. </w:t>
      </w:r>
      <w:r>
        <w:br/>
      </w:r>
      <w:r>
        <w:rPr>
          <w:rFonts w:ascii="Times New Roman"/>
          <w:b w:val="false"/>
          <w:i w:val="false"/>
          <w:color w:val="000000"/>
          <w:sz w:val="28"/>
        </w:rPr>
        <w:t>
      </w:t>
      </w:r>
      <w:r>
        <w:rPr>
          <w:rFonts w:ascii="Times New Roman"/>
          <w:b w:val="false"/>
          <w:i w:val="false"/>
          <w:color w:val="000000"/>
          <w:sz w:val="28"/>
        </w:rPr>
        <w:t xml:space="preserve">3. Контроль за исполнением настоящего постановления возложить на руководителя аппарата акима района Демеуовой Г.Н. </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района от "15"марта 2016 года № 48</w:t>
            </w:r>
          </w:p>
        </w:tc>
      </w:tr>
    </w:tbl>
    <w:bookmarkStart w:name="z155"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акима Тупкараганского района", районных исполнительных органов, финансируемых  из районного бюджета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w:t>
      </w:r>
      <w:r>
        <w:rPr>
          <w:rFonts w:ascii="Times New Roman"/>
          <w:b w:val="false"/>
          <w:i w:val="false"/>
          <w:color w:val="000000"/>
          <w:sz w:val="28"/>
        </w:rPr>
        <w:t>Методика</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Тупкараганского района", районных исполнительных органов, финансируемых из районного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w:t>
      </w:r>
      <w:r>
        <w:rPr>
          <w:rFonts w:ascii="Times New Roman"/>
          <w:b w:val="false"/>
          <w:i w:val="false"/>
          <w:color w:val="000000"/>
          <w:sz w:val="28"/>
        </w:rPr>
        <w:t>статьи 33</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государственного учреждения "Аппарат акима Тупкараганского района", районных исполнительных органов, финансируемых из районного бюджета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 xml:space="preserve">Служащие корпуса "Б", находящиеся в социальных отпусках, проходят оценку после выхода на работу в сроки, указанные в настоящем пункте настоящей </w:t>
      </w:r>
      <w:r>
        <w:rPr>
          <w:rFonts w:ascii="Times New Roman"/>
          <w:b w:val="false"/>
          <w:i w:val="false"/>
          <w:color w:val="000000"/>
          <w:sz w:val="28"/>
        </w:rPr>
        <w:t>Методики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районных исполнительных органов, финансируемых из районного бюджета, оценка проводится акимом района,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деятельности административных государственных служащих корпуса "Б" государственного учреждения "Аппарат акима Тупкараганского района" (далее – Аппарат акима Тупкараганского района), руководителей районных исполнительных органов, финансируемых из районного бюджета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отдел управления персоналом Аппарата акима Тупкараганского района.</w:t>
      </w:r>
      <w:r>
        <w:br/>
      </w:r>
      <w:r>
        <w:rPr>
          <w:rFonts w:ascii="Times New Roman"/>
          <w:b w:val="false"/>
          <w:i w:val="false"/>
          <w:color w:val="000000"/>
          <w:sz w:val="28"/>
        </w:rPr>
        <w:t>
      </w:t>
      </w:r>
      <w:r>
        <w:rPr>
          <w:rFonts w:ascii="Times New Roman"/>
          <w:b w:val="false"/>
          <w:i w:val="false"/>
          <w:color w:val="000000"/>
          <w:sz w:val="28"/>
        </w:rPr>
        <w:t>Для проведения оценки деятельности административных государственных служащих корпуса "Б" районных исполнительных органов, финансируемых из районного бюджета, за исключением руководителей,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кадровая служба районного исполнительного органа.</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созданной в Аппарате акиме Тупкараганского района, является сотрудник отдела управления персоналом Аппарата акима Тупкараганского района, а в районном исполнительном органе – сотрудник кадровой службы районного исполнительного органа. Секретарь Комиссии по оценке не принимает участие в голосовании.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Составление индивидуального плана работы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xml:space="preserve">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(фамилия, имя, отчество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Аппарата акима Тупкараганского района, районного исполнительного органа, а в случае ее (их) отсутствия, исходя из его функциональных обязанностей. 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Аппарату акима Тупкараганского района, районному исполнительному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отдел управления персоналом Аппарата акима Тупкараганского района, кадровую службу районного исполнительного органа.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Подготовка к проведению оценки</w:t>
      </w:r>
    </w:p>
    <w:p>
      <w:pPr>
        <w:spacing w:after="0"/>
        <w:ind w:left="0"/>
        <w:jc w:val="left"/>
      </w:pPr>
      <w:r>
        <w:rPr>
          <w:rFonts w:ascii="Times New Roman"/>
          <w:b w:val="false"/>
          <w:i w:val="false"/>
          <w:color w:val="000000"/>
          <w:sz w:val="28"/>
        </w:rPr>
        <w:t>      </w:t>
      </w:r>
      <w:r>
        <w:rPr>
          <w:rFonts w:ascii="Times New Roman"/>
          <w:b w:val="false"/>
          <w:i w:val="false"/>
          <w:color w:val="000000"/>
          <w:sz w:val="28"/>
        </w:rPr>
        <w:t>14. Отдел управления персоналом Аппарата акима Тупкараганского района, кадровая служба районного исполнительного органа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Отдел управления персоналом Аппарата акима Тупкараганского района, кадровая служба районного исполнительного органа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Оценка исполнения должностных обязанностей</w:t>
      </w:r>
    </w:p>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Аппаратом акима Тупкараганского района, районным исполнительным органом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Аппарата акима Тупкараганского района, районного исполнительного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отдела управления персоналом Аппарата акима Тупкараганского района, кадровой службы районного исполнительного органа,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отделом управления персоналом Аппарата акима Тупкараганского района, кадровой службы районного исполнительного органа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сотрудником отдела управления персоналом Аппарата акима Тупкараганского района, сотрудником кадровой службы районного исполнительного органа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Оценка выполнения индивидуального плана работы</w:t>
      </w:r>
    </w:p>
    <w:p>
      <w:pPr>
        <w:spacing w:after="0"/>
        <w:ind w:left="0"/>
        <w:jc w:val="left"/>
      </w:pPr>
      <w:r>
        <w:rPr>
          <w:rFonts w:ascii="Times New Roman"/>
          <w:b w:val="false"/>
          <w:i w:val="false"/>
          <w:color w:val="000000"/>
          <w:sz w:val="28"/>
        </w:rPr>
        <w:t>      </w:t>
      </w:r>
      <w:r>
        <w:rPr>
          <w:rFonts w:ascii="Times New Roman"/>
          <w:b w:val="false"/>
          <w:i w:val="false"/>
          <w:color w:val="000000"/>
          <w:sz w:val="28"/>
        </w:rPr>
        <w:t>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сотрудником отдела управления персоналом Аппарата акима Тупкараганского района, сотрудником кадровой службы районного исполнительного органа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Круговая оценка</w:t>
      </w:r>
    </w:p>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пункта 29</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определяется отделом управления персоналом Аппарата акима Тупкараганского района, кадровой службой районного исполнительного органа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отдел управления персоналом Аппарата акима Тупкараганского района, кадровую службу районного исполнительного органа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Отдел управления персоналом Аппарата акима Тупкараганского района, кадровая служба районного исполнительного органа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Итоговая оценка</w:t>
      </w:r>
    </w:p>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отделом управления персоналом Аппарата акима Тупкараганского района, кадровой службой районного исполнительного органа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где</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Рассмотрение результатов оценки Комиссией</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Отдел управления персоналом Аппарата акима Тупкараганского района, кадровая служба районного исполнительного органа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w:t>
      </w:r>
      <w:r>
        <w:rPr>
          <w:rFonts w:ascii="Times New Roman"/>
          <w:b w:val="false"/>
          <w:i w:val="false"/>
          <w:color w:val="000000"/>
          <w:sz w:val="28"/>
        </w:rPr>
        <w:t>Отдел управления персоналом Аппарата акима Тупкараганского района, кадровая служба районного исполнительного органа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 xml:space="preserve">В случае принятия решения о пересмотре результатов оценки Комиссия корректирует оценку с соответствующим пояснением в протоколе </w:t>
      </w:r>
      <w:r>
        <w:br/>
      </w:r>
      <w:r>
        <w:rPr>
          <w:rFonts w:ascii="Times New Roman"/>
          <w:b w:val="false"/>
          <w:i w:val="false"/>
          <w:color w:val="000000"/>
          <w:sz w:val="28"/>
        </w:rPr>
        <w:t>
      </w:t>
      </w:r>
      <w:r>
        <w:rPr>
          <w:rFonts w:ascii="Times New Roman"/>
          <w:b w:val="false"/>
          <w:i w:val="false"/>
          <w:color w:val="000000"/>
          <w:sz w:val="28"/>
        </w:rPr>
        <w:t>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отделом управления персоналом Аппарата акима Тупкараганского района, кадровой службой районного исполнительного органа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Отдел управления персоналом Аппарата акима Тупкараганского района, кадровая служба районного исполнительного органа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сотрудником отдела управления персоналом Аппарата акима Тупкараганского района, сотрудником кадровой службы районного исполнительного органа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а также подписанный протокол заседания Комиссии хранятся в отделе управления персоналом Аппарата акима Тупкараганского района, кадровой службе районного исполнительного органа.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Обжалование результатов оценки</w:t>
      </w:r>
    </w:p>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Аппарату акима Тупкараганского района, районному исполнительному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Аппаратом акима Тупкараганского района, районным исполнительным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1</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Принятие решений по результатам оценки</w:t>
      </w:r>
    </w:p>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Методике оценки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административных государственных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служащих корпуса "Б"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районных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__________________________________год</w:t>
      </w:r>
      <w:r>
        <w:br/>
      </w: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служащего: 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Наименование структурного подразделения служащего:____________________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6287"/>
        <w:gridCol w:w="2351"/>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п/п</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учреждения "Аппарат акима Тупкараганского района", районных исполнительных органов, финансируемых из районного бюджета, а в случае ее (их) отсутствия, исходя из функциональных обязанностей служащего.</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должны быть сопоставимы по государственному учреждению "Аппарат акима Тупкараганского района", районному исполнительному органу, финансируемого из районного бюджета.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77"/>
        <w:gridCol w:w="7023"/>
      </w:tblGrid>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Методике оценки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административных государственных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служащих корпуса "Б"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районных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___________________квартал ____ года</w:t>
      </w:r>
      <w:r>
        <w:br/>
      </w:r>
      <w:r>
        <w:rPr>
          <w:rFonts w:ascii="Times New Roman"/>
          <w:b w:val="false"/>
          <w:i w:val="false"/>
          <w:color w:val="000000"/>
          <w:sz w:val="28"/>
        </w:rPr>
        <w:t>
      </w:t>
      </w:r>
      <w:r>
        <w:rPr>
          <w:rFonts w:ascii="Times New Roman"/>
          <w:b w:val="false"/>
          <w:i w:val="false"/>
          <w:color w:val="000000"/>
          <w:sz w:val="28"/>
        </w:rPr>
        <w:t>(оцениваемый период)</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Наименование структурного подразделения оцениваемого служащего:________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172"/>
        <w:gridCol w:w="1852"/>
        <w:gridCol w:w="1852"/>
        <w:gridCol w:w="1213"/>
        <w:gridCol w:w="1853"/>
        <w:gridCol w:w="1853"/>
        <w:gridCol w:w="574"/>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поощряемых показателях </w:t>
            </w:r>
            <w:r>
              <w:br/>
            </w:r>
            <w:r>
              <w:rPr>
                <w:rFonts w:ascii="Times New Roman"/>
                <w:b w:val="false"/>
                <w:i w:val="false"/>
                <w:color w:val="000000"/>
                <w:sz w:val="20"/>
              </w:rPr>
              <w:t>
и видах деятельности</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77"/>
        <w:gridCol w:w="7023"/>
      </w:tblGrid>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Методике оценки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административных государственных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служащих корпуса "Б"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районных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Наименование структурного подразделения оцениваемого служащего:________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571"/>
        <w:gridCol w:w="4193"/>
        <w:gridCol w:w="1502"/>
        <w:gridCol w:w="1503"/>
        <w:gridCol w:w="96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77"/>
        <w:gridCol w:w="7023"/>
      </w:tblGrid>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Фамилия, имя, отчество (при его наличии) ________________________________________</w:t>
            </w:r>
            <w:r>
              <w:br/>
            </w:r>
            <w:r>
              <w:rPr>
                <w:rFonts w:ascii="Times New Roman"/>
                <w:b w:val="false"/>
                <w:i w:val="false"/>
                <w:color w:val="000000"/>
                <w:sz w:val="20"/>
              </w:rPr>
              <w:t>
дата ___________________________________</w:t>
            </w:r>
            <w:r>
              <w:br/>
            </w:r>
            <w:r>
              <w:rPr>
                <w:rFonts w:ascii="Times New Roman"/>
                <w:b w:val="false"/>
                <w:i w:val="false"/>
                <w:color w:val="000000"/>
                <w:sz w:val="20"/>
              </w:rPr>
              <w:t>
подпись ________________________________</w:t>
            </w:r>
            <w:r>
              <w:br/>
            </w:r>
            <w:r>
              <w:rPr>
                <w:rFonts w:ascii="Times New Roman"/>
                <w:b w:val="false"/>
                <w:i w:val="false"/>
                <w:color w:val="000000"/>
                <w:sz w:val="20"/>
              </w:rPr>
              <w:t>
</w:t>
            </w:r>
          </w:p>
        </w:tc>
      </w:tr>
      <w:tr>
        <w:trPr>
          <w:trHeight w:val="30" w:hRule="atLeast"/>
        </w:trPr>
        <w:tc>
          <w:tcPr>
            <w:tcW w:w="52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Методике оценки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административных государственных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служащих корпуса "Б"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районных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круговой оценки</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__________________________________год </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оцениваемого служащего: 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r>
        <w:rPr>
          <w:rFonts w:ascii="Times New Roman"/>
          <w:b w:val="false"/>
          <w:i w:val="false"/>
          <w:color w:val="000000"/>
          <w:sz w:val="28"/>
        </w:rPr>
        <w:t xml:space="preserve">Наименование структурного подразделения оцениваемого служащего:________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Методике оценки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административных государственных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служащих корпуса "Б"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районных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Протокол заседания Комиссии по оценке</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(вид оценки: квартальная/годовая и оцениваемый период (квартал и (или) год)</w:t>
      </w:r>
      <w:r>
        <w:br/>
      </w: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его наличии) служащих</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Заключение Комиссии:</w:t>
      </w:r>
      <w:r>
        <w:rPr>
          <w:rFonts w:ascii="Times New Roman"/>
          <w:b w:val="false"/>
          <w:i/>
          <w:color w:val="000000"/>
          <w:sz w:val="28"/>
        </w:rPr>
        <w:t>_</w:t>
      </w:r>
      <w:r>
        <w:rPr>
          <w:rFonts w:ascii="Times New Roman"/>
          <w:b w:val="false"/>
          <w:i/>
          <w:color w:val="000000"/>
          <w:sz w:val="28"/>
        </w:rPr>
        <w:t>____________________________________________</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Комиссии:_________________________________ Дата: 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Комиссии:______________________________ Дата: 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Комиссии:____________________________________ Дата: 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