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83f5" w14:textId="e258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схем зонирования и поправочных коэффициентах к базовой ставке земельного налога для целей налогообложения села Мангистау</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21 октября 2016 года № 4/68. Зарегистрировано Департаментом юстиции Мангистауской области от 02 декабря 2016 года № 3204.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Мунайлинский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Мунайлинского районного маслихата Мангистауской области от 27.04.2018 </w:t>
      </w:r>
      <w:r>
        <w:rPr>
          <w:rFonts w:ascii="Times New Roman"/>
          <w:b w:val="false"/>
          <w:i w:val="false"/>
          <w:color w:val="000000"/>
          <w:sz w:val="28"/>
        </w:rPr>
        <w:t>№ 22/274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схему зонирования села Мангистау для целей налогообложения и характеристику зонирования земель и поправочные коэффициенты к базовой ставке земельного налога для целей налогообложения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2. Руководителю аппарата Мунайлинского районного маслихата (Жанбуршина А.) обеспечить государственную регистрацию настоящего решения в органах юстиции, его официальное опубликование в информационно-правовой системе "Әділет"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Мунайлинского районного маслихата по социальным вопросам, законности, правопорядка, по депутатским полномочиям и этике (председатель комиссии Конысбаева Г).</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Б.Казахбаев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Руководитель республиканского </w:t>
      </w:r>
    </w:p>
    <w:p>
      <w:pPr>
        <w:spacing w:after="0"/>
        <w:ind w:left="0"/>
        <w:jc w:val="both"/>
      </w:pPr>
      <w:r>
        <w:rPr>
          <w:rFonts w:ascii="Times New Roman"/>
          <w:b w:val="false"/>
          <w:i w:val="false"/>
          <w:color w:val="000000"/>
          <w:sz w:val="28"/>
        </w:rPr>
        <w:t>
      государственного учреждения "Управление</w:t>
      </w:r>
    </w:p>
    <w:p>
      <w:pPr>
        <w:spacing w:after="0"/>
        <w:ind w:left="0"/>
        <w:jc w:val="both"/>
      </w:pPr>
      <w:r>
        <w:rPr>
          <w:rFonts w:ascii="Times New Roman"/>
          <w:b w:val="false"/>
          <w:i w:val="false"/>
          <w:color w:val="000000"/>
          <w:sz w:val="28"/>
        </w:rPr>
        <w:t xml:space="preserve">
      государственных доходов </w:t>
      </w:r>
    </w:p>
    <w:p>
      <w:pPr>
        <w:spacing w:after="0"/>
        <w:ind w:left="0"/>
        <w:jc w:val="both"/>
      </w:pPr>
      <w:r>
        <w:rPr>
          <w:rFonts w:ascii="Times New Roman"/>
          <w:b w:val="false"/>
          <w:i w:val="false"/>
          <w:color w:val="000000"/>
          <w:sz w:val="28"/>
        </w:rPr>
        <w:t xml:space="preserve">
      по Мунайлинскому району Департамента </w:t>
      </w:r>
    </w:p>
    <w:p>
      <w:pPr>
        <w:spacing w:after="0"/>
        <w:ind w:left="0"/>
        <w:jc w:val="both"/>
      </w:pPr>
      <w:r>
        <w:rPr>
          <w:rFonts w:ascii="Times New Roman"/>
          <w:b w:val="false"/>
          <w:i w:val="false"/>
          <w:color w:val="000000"/>
          <w:sz w:val="28"/>
        </w:rPr>
        <w:t>
      государственных доходов по Мангистауской</w:t>
      </w:r>
    </w:p>
    <w:p>
      <w:pPr>
        <w:spacing w:after="0"/>
        <w:ind w:left="0"/>
        <w:jc w:val="both"/>
      </w:pPr>
      <w:r>
        <w:rPr>
          <w:rFonts w:ascii="Times New Roman"/>
          <w:b w:val="false"/>
          <w:i w:val="false"/>
          <w:color w:val="000000"/>
          <w:sz w:val="28"/>
        </w:rPr>
        <w:t>
      области Комитета государственных доходов</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Танатар М. </w:t>
      </w:r>
    </w:p>
    <w:p>
      <w:pPr>
        <w:spacing w:after="0"/>
        <w:ind w:left="0"/>
        <w:jc w:val="both"/>
      </w:pPr>
      <w:r>
        <w:rPr>
          <w:rFonts w:ascii="Times New Roman"/>
          <w:b w:val="false"/>
          <w:i w:val="false"/>
          <w:color w:val="000000"/>
          <w:sz w:val="28"/>
        </w:rPr>
        <w:t>
      27 октября 2016 года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"Мунайлинский</w:t>
      </w:r>
    </w:p>
    <w:p>
      <w:pPr>
        <w:spacing w:after="0"/>
        <w:ind w:left="0"/>
        <w:jc w:val="both"/>
      </w:pPr>
      <w:r>
        <w:rPr>
          <w:rFonts w:ascii="Times New Roman"/>
          <w:b w:val="false"/>
          <w:i w:val="false"/>
          <w:color w:val="000000"/>
          <w:sz w:val="28"/>
        </w:rPr>
        <w:t xml:space="preserve">
      районный отдел земельных отношений" </w:t>
      </w:r>
    </w:p>
    <w:p>
      <w:pPr>
        <w:spacing w:after="0"/>
        <w:ind w:left="0"/>
        <w:jc w:val="both"/>
      </w:pPr>
      <w:r>
        <w:rPr>
          <w:rFonts w:ascii="Times New Roman"/>
          <w:b w:val="false"/>
          <w:i w:val="false"/>
          <w:color w:val="000000"/>
          <w:sz w:val="28"/>
        </w:rPr>
        <w:t xml:space="preserve">
      Отегенов А. </w:t>
      </w:r>
    </w:p>
    <w:p>
      <w:pPr>
        <w:spacing w:after="0"/>
        <w:ind w:left="0"/>
        <w:jc w:val="both"/>
      </w:pPr>
      <w:r>
        <w:rPr>
          <w:rFonts w:ascii="Times New Roman"/>
          <w:b w:val="false"/>
          <w:i w:val="false"/>
          <w:color w:val="000000"/>
          <w:sz w:val="28"/>
        </w:rPr>
        <w:t>
      27 октября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Мунайлинского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21 октября 2016года </w:t>
            </w:r>
          </w:p>
        </w:tc>
      </w:tr>
    </w:tbl>
    <w:p>
      <w:pPr>
        <w:spacing w:after="0"/>
        <w:ind w:left="0"/>
        <w:jc w:val="left"/>
      </w:pPr>
      <w:r>
        <w:rPr>
          <w:rFonts w:ascii="Times New Roman"/>
          <w:b/>
          <w:i w:val="false"/>
          <w:color w:val="000000"/>
        </w:rPr>
        <w:t xml:space="preserve"> Схема зонирования территории села Мангистау  для целей налогооблажения</w:t>
      </w:r>
    </w:p>
    <w:p>
      <w:pPr>
        <w:spacing w:after="0"/>
        <w:ind w:left="0"/>
        <w:jc w:val="left"/>
      </w:pPr>
      <w:r>
        <w:br/>
      </w:r>
    </w:p>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Мунайлинского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21 октября 2016года </w:t>
            </w:r>
          </w:p>
        </w:tc>
      </w:tr>
    </w:tbl>
    <w:p>
      <w:pPr>
        <w:spacing w:after="0"/>
        <w:ind w:left="0"/>
        <w:jc w:val="left"/>
      </w:pPr>
      <w:r>
        <w:rPr>
          <w:rFonts w:ascii="Times New Roman"/>
          <w:b/>
          <w:i w:val="false"/>
          <w:color w:val="000000"/>
        </w:rPr>
        <w:t xml:space="preserve"> Характеристика зонирования земель села Мангистау и поправочные коэффициенты к базовой ставке земельного налога для целей налогообложения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7034"/>
        <w:gridCol w:w="3406"/>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вошедшие в зону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по ценовой зоне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Селитебная, двухэтажные и зона в которые входит центральные части построенных частных домов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зона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Селитебная, зона в которую входит жилой массив сторительство построенных частных жилых домов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i w:val="false"/>
          <w:color w:val="000000"/>
        </w:rPr>
        <w:t xml:space="preserve"> Характеристика зон</w:t>
      </w:r>
    </w:p>
    <w:bookmarkStart w:name="z5" w:id="5"/>
    <w:p>
      <w:pPr>
        <w:spacing w:after="0"/>
        <w:ind w:left="0"/>
        <w:jc w:val="both"/>
      </w:pPr>
      <w:r>
        <w:rPr>
          <w:rFonts w:ascii="Times New Roman"/>
          <w:b w:val="false"/>
          <w:i w:val="false"/>
          <w:color w:val="000000"/>
          <w:sz w:val="28"/>
        </w:rPr>
        <w:t>
      1 зона – Селитебная, двухэтажные и зона в которые входит центральные части построенных частных жилых домов. Здесь расположены основные административные здания, общеобразовательные школы, спорт школы, дом культуры, дом связи, библиотека, поликлиника, больничный городок, мечеть, рынок, гостиница, сеть частных мелких магазинов, кафе, рестораны</w:t>
      </w:r>
    </w:p>
    <w:bookmarkEnd w:id="5"/>
    <w:bookmarkStart w:name="z6" w:id="6"/>
    <w:p>
      <w:pPr>
        <w:spacing w:after="0"/>
        <w:ind w:left="0"/>
        <w:jc w:val="both"/>
      </w:pPr>
      <w:r>
        <w:rPr>
          <w:rFonts w:ascii="Times New Roman"/>
          <w:b w:val="false"/>
          <w:i w:val="false"/>
          <w:color w:val="000000"/>
          <w:sz w:val="28"/>
        </w:rPr>
        <w:t>
      2 зона – Промышленная зона</w:t>
      </w:r>
    </w:p>
    <w:bookmarkEnd w:id="6"/>
    <w:bookmarkStart w:name="z7" w:id="7"/>
    <w:p>
      <w:pPr>
        <w:spacing w:after="0"/>
        <w:ind w:left="0"/>
        <w:jc w:val="both"/>
      </w:pPr>
      <w:r>
        <w:rPr>
          <w:rFonts w:ascii="Times New Roman"/>
          <w:b w:val="false"/>
          <w:i w:val="false"/>
          <w:color w:val="000000"/>
          <w:sz w:val="28"/>
        </w:rPr>
        <w:t>
      3 зона – Селитебная, зона в которую входит жилой массив сторительство построенных частных жилых домов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