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8fb7" w14:textId="9298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Аркалыкского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 апреля 2016 года № 13. Зарегистрировано Департаментом юстиции Костанайской области 6 мая 2016 года № 6328. Утратило силу решением маслихата города Аркалыка Костанайской области от 23 февраля 2017 года №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Аркалыка Костанайской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Аркалыкский городской маслихата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Аркалыкского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государственного учреждения "Аппарат Аркалыкского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Аркалыкского городского маслихата"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Аркалыкского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Аркалыкского городского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Аркалыкского городского маслихата,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организационно-правовой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ведущий специалист организационно-правового отдела.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организационно-правовой отдел. Второй экземпляр находится у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Организационно-правовой отдел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Организационно-правовой отдел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органом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организационно-правового отдела,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организационно-правовым отделом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организационно-правового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организационно-правового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организационно-правовым отделом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организационно-правовой отдел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Организационно-правовой отдел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организационно-правовым отделом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Организационно-правовой отдел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Организационно-правовой отдел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организационно-правовым отделом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Организационно-правовой отдел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 организационно-правового отдела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организационно-правовом отделе.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Информация о принятом решении представляется государственным учреждением "Аппарат Аркалыкского городского маслихата"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46.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деятельности служащих корпуса "Б" вносятся в ихпослужные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rPr>
          <w:rFonts w:ascii="Times New Roman"/>
          <w:b/>
          <w:i w:val="false"/>
          <w:color w:val="000000"/>
        </w:rPr>
        <w:t xml:space="preserve"> 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период</w:t>
      </w:r>
      <w:r>
        <w:rPr>
          <w:rFonts w:ascii="Times New Roman"/>
          <w:b w:val="false"/>
          <w:i/>
          <w:color w:val="000000"/>
          <w:sz w:val="28"/>
        </w:rPr>
        <w:t>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4"/>
        <w:gridCol w:w="4975"/>
        <w:gridCol w:w="2351"/>
      </w:tblGrid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94"/>
        <w:gridCol w:w="146"/>
        <w:gridCol w:w="6260"/>
      </w:tblGrid>
      <w:tr>
        <w:trPr>
          <w:trHeight w:val="30" w:hRule="atLeast"/>
        </w:trPr>
        <w:tc>
          <w:tcPr>
            <w:tcW w:w="5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 </w:t>
            </w:r>
          </w:p>
        </w:tc>
      </w:tr>
    </w:tbl>
    <w:bookmarkStart w:name="z15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квартал 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/>
          <w:color w:val="000000"/>
          <w:sz w:val="28"/>
        </w:rPr>
        <w:t xml:space="preserve">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72"/>
        <w:gridCol w:w="155"/>
        <w:gridCol w:w="6073"/>
      </w:tblGrid>
      <w:tr>
        <w:trPr>
          <w:trHeight w:val="30" w:hRule="atLeast"/>
        </w:trPr>
        <w:tc>
          <w:tcPr>
            <w:tcW w:w="6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/>
          <w:color w:val="000000"/>
          <w:sz w:val="28"/>
        </w:rPr>
        <w:t xml:space="preserve">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1055"/>
        <w:gridCol w:w="5182"/>
        <w:gridCol w:w="1645"/>
        <w:gridCol w:w="1646"/>
        <w:gridCol w:w="1057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70"/>
        <w:gridCol w:w="160"/>
        <w:gridCol w:w="5870"/>
      </w:tblGrid>
      <w:tr>
        <w:trPr>
          <w:trHeight w:val="30" w:hRule="atLeast"/>
        </w:trPr>
        <w:tc>
          <w:tcPr>
            <w:tcW w:w="62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/>
          <w:color w:val="000000"/>
          <w:sz w:val="28"/>
        </w:rPr>
        <w:t xml:space="preserve">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вид</w:t>
      </w:r>
      <w:r>
        <w:rPr>
          <w:rFonts w:ascii="Times New Roman"/>
          <w:b w:val="false"/>
          <w:i/>
          <w:color w:val="000000"/>
          <w:sz w:val="28"/>
        </w:rPr>
        <w:t xml:space="preserve"> оценки: квартальная/годовая и 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3138"/>
        <w:gridCol w:w="1845"/>
        <w:gridCol w:w="4599"/>
        <w:gridCol w:w="873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 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 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 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