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0eed" w14:textId="cad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24 мая 2016 года № 115. Зарегистрировано Департаментом юстиции Костанайской области 1 июля 2016 года № 6517.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7232),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жилищно-коммунальным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115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Аулиекольского района Костанайской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Астана,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Восточная,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Гагарина, дом 109,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Джангильдина, дом 56,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Тургумбаева,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23,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35,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33,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Комсомольская,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Приэлеваторная, дом 24,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Джамбула,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Железнодорожная,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Новая,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