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202a" w14:textId="3352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Денисовского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27 апреля 2016 года № 25. Зарегистрировано Департаментом юстиции Костанайской области 3 июня 2016 года № 6420. Утратило силу решением маслихата Денисовского района Костанайской области от 22 февраля 2017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Денисовского района Костанайской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Денисовского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государственного учреждения "Аппарат Денисовского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второй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апреля 2016 года № 25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государственного учреждения "Аппарат</w:t>
      </w:r>
      <w:r>
        <w:br/>
      </w:r>
      <w:r>
        <w:rPr>
          <w:rFonts w:ascii="Times New Roman"/>
          <w:b/>
          <w:i w:val="false"/>
          <w:color w:val="000000"/>
        </w:rPr>
        <w:t>Денисовского районного маслихата"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Настоящая методика оценки деятельности административных государственных служащих корпуса "Б" государственного учреждения "Аппарат Денисовского районного маслихата"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ответственным за ее работу является главный специалист, в должностные обязанности которого входят вопросы кадровой работы (далее - главный специалист).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специалисту. Второй экземпляр находится у руководителя отдела организационной работы государственного учреждения "Аппарат Денисовского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специалист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 Единой системе электронного документооборота и 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главным специалистом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Главный специалист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главным специалистом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Главный специалист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 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организационной работы государственного учреждения "Аппарат Денисовского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6267"/>
        <w:gridCol w:w="2908"/>
      </w:tblGrid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 квартал 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1903"/>
        <w:gridCol w:w="1903"/>
        <w:gridCol w:w="1653"/>
        <w:gridCol w:w="1903"/>
        <w:gridCol w:w="1904"/>
        <w:gridCol w:w="1653"/>
        <w:gridCol w:w="450"/>
      </w:tblGrid>
      <w:tr>
        <w:trPr>
          <w:trHeight w:val="30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 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 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88"/>
        <w:gridCol w:w="5912"/>
      </w:tblGrid>
      <w:tr>
        <w:trPr>
          <w:trHeight w:val="30" w:hRule="atLeast"/>
        </w:trPr>
        <w:tc>
          <w:tcPr>
            <w:tcW w:w="6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/>
          <w:i w:val="false"/>
          <w:color w:val="000000"/>
        </w:rPr>
        <w:t>(квартал и (или) год)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