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a5a8" w14:textId="128a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24 мая 2016 года № 30. Зарегистрировано Департаментом юстиции Костанайской области 21 июня 2016 года № 6479. Утратило силу решением маслихата Джангельдинского района Костанайской области от 27 февраля 2017 года №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Джангельдинского района Костанайской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слова "ведущий", "ведущему", "ведущего", "ведущим" заменены словами "главный", "главному", "главного", "главным" решением маслихата Джангельдинского района Костанайской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24.10.2016).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Джангельдинского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30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Джангельдинского районного маслихата,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организационной отдел государственного учреждения "Аппарат Джангельдинского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государственного учреждения "Аппарат Джангельдинского районного маслихата", ответственный за ведение кадрового делопроизводства (далее – главный специалист). Главный специалист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непосредственногоруководителя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