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3757" w14:textId="3033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благоустройства территорий городов и населенных пунктов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 февраля 2016 года № 427/48. Зарегистрировано Департаментом юстиции Павлодарской области 04 марта 2016 года № 4953. Утратило силу решением маслихата Павлодарской области от 16 октября 2017 года № 156/16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16.10.2017 № 156/16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благоустройства территорий городов и населенных пунктов"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30 мая 2014 года № 264/31 "Об утверждении Правил благоустройства территорий городов и населенных пунктов Павлодарской области" (зарегистрировано в Реестре государственной регистрации нормативных правовых актов за № 3871, опубликовано 24 июля 2014 года в газетах "Сарыарқа самалы", "Звезда Прииртышья").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областного маслихата по вопросам экологии и охраны окружающей среды.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(ХLVIII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427/48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насаждений, благоустройства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территорий городов и населенных пунктов Павлодарской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насаждений, благоустройства территорий Павлодарской области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строительной деятельности в Республике Казахстан" (далее - Закон), и иными нормативными правовыми актами.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насаждений, благоустройства территорий Павлодарской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и мероприятий, осуществляемых в целях приведения той или иной территории в состояние, пригодное для строительства, нормального использования по назначению, созданию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уничтожение зеленых насаждений – повреждение зеленых насаждений, повлекшее их гибель;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твердые бытовые отходы –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компенсационная посадка – посадка зеленых насаждений взамен уничтоженных или поврежденных;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местный исполнительный орган, осуществляющий функции в сфере регулирования природопользования,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– субъект частного предпринимательства, осуществляющий необходимую для проводимых работ деятельность, имеющее материальные и квалифицированные трудовые ресурсы либо юридическое лицо,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 образуют единый зеленый фонд и подлежат защите.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озелененных территорий и зеленых массивов, не совместимое с обеспечением жизнедеятельности зеленых насаждений, не допускается. Развитие озелененных территорий производится в соответствии с долгосрочной комплексной схемой озеленения населенного пункта.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виды работ по озеленению следует выполнять по утвержденным проектам, в соответствии с рабочими чертежами. При ведении работ по озеленению и благоустройству, за качеством и соответствием выполняемых работ утвержденному проекту, рабочим чертежам ведется авторский надзор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 основные виды работ по озеленению: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обрезка, пересадка, снос (санитарная рубка аварийных, сухостойных, перестойных деревьев и кустарников)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борьба с вредителями и болезнями зеленых насаждений.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Работы по омолаживанию деревьев и прореживание густо произрастающих деревьев проводятся до начала вегетации или поздней осенью.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или пересадка зеленых насаждений.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Вырубка зеленых насаждений осуществляется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старых насаждений, создающих угрозу безопасности здоровью и жизни людей, а также могущих повлечь ущерб имуществу физическому и юридическому лицу.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права землепользования.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за счет средств местного бюджета.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компенсационных посадок на территории города и населенного пункта уполномоченным органом определяются специальные участки.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Компенсационные посадки на землях общего и специального пользования проводятся организациями, осуществляющими озеленение, уход и содержание зеленых насаждений на землях общего пользования.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Благоустройство территорий городов и населенных пунктов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Текущее санитарное содержание местности осуществляется организациями, осуществляющими деятельность в данной сфере.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Уборка и содержание мест общего пользования включают в себя следующие виды работ: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Во избежание засорения водосточной сети не допускается сброс мусора в водосточные коллекторы, дождеприемные колодцы и арычную систему.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Вывоз снега с улиц и проездов должен осуществляться на специально подготовленные площадки. Не допускается вывоз снега в не согласованные местными исполнительными органами места.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Места временного складирования снега после снеготаяния должны быть очищены от мусора и благоустроены.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осуществляющей вывоз мусора.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Не допускается сброс и складирование золы в контейнеры для твердых бытовых отходов и на контейнерные площадки.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Жидкие бытовые отходы и крупногабаритный мусор не подлежит сбросу в мусоропровод.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Эксплуатацию мусоропровода осуществляет эксплуатирующая организация, в ведении которой находится жилой дом.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Организация, эксплуатирующие и обслуживающие контейнерные площадки и контейнеры: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их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Количество, размещение и оборудование площадок должны соответствовать строительным и санитарным нормам.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Самовольное переоборудование фасадов зданий и конструктивных элементов не допускается.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