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018" w14:textId="cf1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79/2. Зарегистрировано Департаментом юстиции Павлодарской области 10 марта 2016 года № 4976. Утратило силу постановлением акимата Павлодарской области от 21 февраля 2017 года № 30/2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21.02.2017 № 30/2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местных бюджетов Павлодарской области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и определяет алгоритм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областных исполнительных органов, исполнительных органов финансируемых из местного бюджета,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 Комиссия),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+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Итоговая квартальная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