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ddc6" w14:textId="b9c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апреля 2016 года № 148/3. Зарегистрировано Департаментом юстиции Павлодарской области 02 июня 2016 года № 5139.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4581, опубликовано в газете "Регион. kz" 24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181/6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местными исполнительными органами районов и городов Павлодарской области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ее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услугополучателем осуществляет прием и их регистрацию, направляет документы на резолюцию руководству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исполнителя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решение о назначении денежных средств, выделяемых на содержание ребенка (детей)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рассматривает решение и подписывает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решение в журнале учета и выдает услугополучателю результат оказания государственной услуги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является решение о назначении денежных средств, выделяемых патронатным воспитателям на содержание ребенка (детей).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</w:t>
      </w:r>
      <w:r>
        <w:br/>
      </w:r>
      <w:r>
        <w:rPr>
          <w:rFonts w:ascii="Times New Roman"/>
          <w:b/>
          <w:i w:val="false"/>
          <w:color w:val="000000"/>
        </w:rPr>
        <w:t>граждан" (далее – Государственной корпорацией)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не оказывается.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услуги,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618"/>
        <w:gridCol w:w="1352"/>
        <w:gridCol w:w="1222"/>
        <w:gridCol w:w="2808"/>
        <w:gridCol w:w="2544"/>
        <w:gridCol w:w="2281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определяет ответственного исполнителя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готовит решение о назначении денежных средств, выделяемых патронатным воспитателям на содержание ребенка (детей)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решение о назначении денежных средств, выделяемых патронатным воспитателям на содержание ребенка (детей) и подписывает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 о назначении денежных средств, выделяемых патронатным воспитателям на содержание ребенка (детей)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резолюцию руководству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денежных средств, выделяемых патронатным воспитателям на содержание ребенка (детей) на рассмотрение и подписание руководством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денежных средств, выделяемых патронатным воспитателям на содержание ребенка (детей)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и выдает услугополучателю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в оказании государственной услуги через портал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воспитателям"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181/6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</w:t>
      </w:r>
      <w:r>
        <w:br/>
      </w:r>
      <w:r>
        <w:rPr>
          <w:rFonts w:ascii="Times New Roman"/>
          <w:b/>
          <w:i w:val="false"/>
          <w:color w:val="000000"/>
        </w:rPr>
        <w:t>в связи с усыновлением ребенка-сироты и (или)</w:t>
      </w:r>
      <w:r>
        <w:br/>
      </w:r>
      <w:r>
        <w:rPr>
          <w:rFonts w:ascii="Times New Roman"/>
          <w:b/>
          <w:i w:val="false"/>
          <w:color w:val="000000"/>
        </w:rPr>
        <w:t>ребенка, оставшегося без попечения родителей"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местными исполнительными органами районов и городов Павлодарской области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ее результат, входящей в состав процесса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услугополучателем осуществляет прием и их регистрацию, направляет документы на резолюцию руководству услугодателя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рассматривает решение о назначении денежных средств и подписывает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решение о назначении денежных средств в журнале учета и выдает услугополучателю результат оказания государственной услуги – 1 (один) рабочий день.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 решение о назначении единовременной денежной выплаты в связи с усыновлением ребенка-сироты и (или) ребенка, оставшегося без попечения родителей.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(далее – Государственной корпорацией)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не оказывается.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309"/>
        <w:gridCol w:w="1094"/>
        <w:gridCol w:w="989"/>
        <w:gridCol w:w="3055"/>
        <w:gridCol w:w="2841"/>
        <w:gridCol w:w="2628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определяет ответственного исполнителя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решение о назначении единовременной денежной выплаты в связи с усыновлением ребенка-сироты и (или) ребенка, оставшегося без попечения родителей и подписывает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решение о назначении единовременной денежной выплаты в связи с усыновлением ребенка-сироты и (или) ребенка,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резолюцию руководству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единовременной денежной выплаты в связи с усыновлением ребенка-сироты и (или) ребенка, оставшегося без попечения родителей на рассмотрение и подписание руководством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и выдает услугополучателю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через портал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 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>ребенка-сироты и (или) ребенка, оставшегося без попечения родителей"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