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9fd0" w14:textId="86a9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18 ноября 2015 года № 4/636 "Об утверждении регламентов государственных услуг в сфере архитектуры, градостроительства и строительства,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июня 2016 года № 2/285. Зарегистрировано Департаментом юстиции города Алматы 18 июля 2016 года за № 1301. Утратило силу постановлением акимата города Алматы от 9 декабря 2020 года № 4/564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09.12.2020 № 4/564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25 "О внесении изменений в приказ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ноября 2015 года № 4/636 "Об утверждении регламентов государственных услуг в сфере архитектуры, градостроительства и строительства, оказываемых в городе Алматы" (зарегистрированное в Реестре государственной регистрации нормативных правовых актов за № 1238, опубликованное 31 декабря 2015 года в газетах "Алматы ақшамы" и "Вечерний Алматы")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организации строительства жилых зданий за счет привлечения денег дольщиков",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государственного архитектурно-строительного контроля города Алматы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Алматы С. Макежанова.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2/285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2015 года № 4/636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проектную деятельность"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лицензии на проектную деятельность" (далее – Регламент) разработан на основании Стандарта государственной услуги "Выдача лицензии на проектную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лицензии на проектную деятельность" (далее – государственная услуга) оказывается коммунальным государственным учреждением "Управление государственного архитектурно-строительного контроля города Алматы" (далее – Услугодатель), адрес и телефоны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оказывается: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 лицензии, переоформление лицензии при реорганизации юридического лица-лицензиата в форме выделения и разделения, переоформление лицензии с присвоением категории и выдача дубликата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Сроки оказания 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15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лицензии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изменении фамилии, имени, отчества (при его наличии) физического лица-лицензиата – 3 рабочих дня.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заявление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– заявление в форме электронного документа, подписанное ЭЦП Услугополучателя,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услуги, поступившее через портал или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предоставленных документов, в случае неполноты предоставленных документов, отказ в дальнейшем рассмотрении запроса (2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уполномоченным сотрудником (сотрудниками) структурного подразделения Услугодателя, в случае полноты предоставленных документов, лицензионного контроля при выдаче лицензии и (или) приложения к лицензии, переоформлении лицензии и (или) приложения к лицензии при реорганизации юридического лица-лицензиата (слияние, присоединение, разделение, выделение, преобразование) (3-10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заявителя квалификационным требованиям до выдачи разрешения и (или) приложения к лицензии осуществляется в порядке иной формы контроля с возможностью посещения проверяемого лица, только в случаях, когда квалификационные требования не могут быть подтверждены предоставлением документов либо не может быть установлена их достоверность.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уполномоченным сотрудником (сотрудниками) структурного подразделения Услугодателя, заключения о соответствии/несоответствии заявителя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ответственным исполнителем Услугодателя заключения и материалов о соответствии/несоответствии квалификационным требованиям заявителя на выдачу лицензии и (или) приложения к лицензии, переоформление лицензии и (или) приложения к лицензии при реорганизации юридического лица-лицензиата (слияние, присоединение, разделение, выделение, преобразование), на согласование с руководителем отдела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реестра и подготовка приказа о выдаче, переоформлении лицензий, либо мотивированном отказе и его подписание руководителем отдела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и регистрация приказа по итогам рассмотрения материалов на соответствие/несоответствии квалификационным требованиям прикрепленных к реестру, руководителем Услугодателя в течении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отправка уполномоченным сотрудником (сотрудниками) Услугодателя уведомления с положительным результатом, либо решения с мотивированным отказом, согласно зарегистрированного приказа, на подписание руководителю Услугодателя (1 рабочий день, после регистрации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принятых решений (30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выдачу дубликата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дубликата лицензии на подписание руководителю Услугодателя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заверение дубликата лицензии подписью и печатью руководителя Услугодателя в день поступления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дубликата лицензии Услугополучателю (20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предоставленных документов и подготовка заключения о соответствии заявителя, в случае неполноты предоставленных документов, отказ в дальнейшем рассмотрении запроса (2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ответственным исполнителем Услугодателя заключения и материалов о соответствии заявителя на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изменения фамилии, имени, отчества (при его наличии) физического лица-лицензиата, на согласование с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реестра и подготовка приказа о переоформлении лицензий, либо мотивированном отказе и его подписание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и регистрация приказа по итогам рассмотрения материалов прикрепленных к реестру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отправка уполномоченным сотрудником (сотрудниками) Услугодателя уведомления с положительным результатом, либо решения с мотивированным отказом, согласно зарегистрированного приказа, на подписание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принятых решений (30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неполноты предоставленных документов, отказ в дальнейшем рассмотрении обращения производится уполномоченным сотрудником Услугодателя, без внесения в реестр заявителей.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предоставленных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проведение лицензионного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заявителей;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документ, подписанный ЭЦП руководителя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 виде.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лицензирования и аттестации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аттестации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оказания государственной услуги участвуют следующие структурно-функциональные единицы (далее –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электронного Правительства (далее –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электронного правительства (далее - 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шлюз электронного правительства (далее – ПШЭП).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инспектором Государственной корпорации, который проверяет полноту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в журнале и передает документы инспектору накопительного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инспектором Государственной корпорации выдается расписка об отказе в приеме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осуществляется сотрудником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заявление (с приложением) регистрируется в базе учета входящей корреспонденции (заявлений), и вносится на рассмотрение должностному лицу –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определяет ответственного исполнителя по рассмотрению документов и передает в канцелярию для дальнейшего направления документов исполнителю - руководителю отдела лицензирования и аттестации (далее – отдел)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отписывает заявление и документы на рассмотрение специалисту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отдела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полного пакета документов, специалист отдела производит выезд на производственную базу заявителя, для установления соответствия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заявителя квалификационным требованиям специалистом отдела Услугодателя составляется соответствующее заключение с последующим направлением материалов руководителю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полного пакета документов (указана не полная информация), специалистом отдела Услугодателя оформляется мотивированный ответ об отказе в выдаче государственной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формирует реестр заявителей о выдаче либо об отказе в выдаче государственной лицензии и подписывает приказ у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специалистом отдела Услугодателя готовится и передается уведомление о результатах рассмотрения заявления на получение государственной услуги на подписание должностному лицу –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руководителем Услугодателя подписывается уведомление о выдаче государственной лицензии либо мотивированный ответ об отказе в выдаче государственной лицензии с дальнейшей передачей в канцелярию для надлежащей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уведомления в канцелярии Услугодателя, при поступлении заявления через Государственную корпорацию с последующей передачей инспекторам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завершение оказания государственной услуги - выдача уведомления Услугополучателю.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индивидуальный идентификационный номер/бизнес идентификационный номер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 (далее – ПШЭП), а затем эта информация поступает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 на основании приказа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через веб-портал "электронного правительства" приведены в диаграмме функционального взаимодействия при оказании частично автоматизированной электронной государственной услуги через ПЭП,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услуги Услугополучатель обращается в Государственную корпорацию по месту регистрации.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заявления Услугополучателя в Государственной корпорации 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телефонам, которые указаны на интернет-ресурсе Услугодателя либо в справочной службе по телефону Единого контакт-центра по вопросам оказания государственных услуг - 1414.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электронной государственной услуги через Государственную корпорацию,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график работы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2388"/>
        <w:gridCol w:w="1951"/>
        <w:gridCol w:w="3236"/>
        <w:gridCol w:w="4099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государственного архитектурно-строительного контроля города Алматы"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проспект Достык, 85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272-08-87,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261-16-16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18-00,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13-00 – 14-00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частично автоматизированной электронной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ПЭП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0673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электронной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лицензии на проектную деятельность" через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корпорацию и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– функциональная единица: взаимодействие структурных подразделений (работников) Услугодателя, Государственная корпорация, веб-портала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2015 года № 4/636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изыскательскую</w:t>
      </w:r>
      <w:r>
        <w:br/>
      </w:r>
      <w:r>
        <w:rPr>
          <w:rFonts w:ascii="Times New Roman"/>
          <w:b/>
          <w:i w:val="false"/>
          <w:color w:val="000000"/>
        </w:rPr>
        <w:t>деятельность"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лицензии на изыскательскую деятельность" (далее – Регламент) разработан на основании Стандарта государственной услуги "Выдача лицензии на изыскательскую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лицензии на изыскательскую деятельность" (далее – государственная услуга) оказывается коммунальным государственным учреждением "Управление государственного архитектурно-строительного контроля города Алматы" (далее – Услугодатель), адрес и телефоны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оказывается: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 лицензии, переоформление и выдача дубликата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Сроки оказания 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лицензии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изменении фамилии, имени, отчества (при его наличии) физического лица-лицензиата - 3 рабочих дня.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заявление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– заявление в форме электронного документа, подписанное ЭЦП Услугополучателя,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предоставленных документов, в случае неполноты предоставленных документов, отказ в дальнейшем рассмотрении запроса (2 рабочих);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уполномоченным сотрудником (сотрудниками) структурного подразделения Услугодателя, в случае полноты предоставленных документов, лицензионного контроля при выдаче лицензии и (или) приложения к лицензии, переоформлении лицензии и (или) приложения к лицензии при реорганизации юридического лица-лицензиата (слияние, присоединение, разделение, выделение, преобразование) (3-10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заявителя квалификационным требованиям до выдачи разрешения и (или) приложения к лицензии осуществляется в порядке иной формы контроля с возможностью посещения проверяемого лица, только в случаях, когда квалификационные требования не могут быть подтверждены предоставлением документов либо не может быть установлена их достоверность.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уполномоченным сотрудником (сотрудниками) структурного подразделения Услугодателя, заключения о соответствии/несоответствии заявителя(1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ответственным исполнителем Услугодателя заключения и материалов о соответствии/несоответствии квалификационным требованиям заявителя на выдачу лицензии и (или) приложения к лицензии, переоформление лицензии и (или) приложения к лицензии при реорганизации юридического лица-лицензиата (слияние, присоединение, разделение, выделение, преобразование), на согласование с руководителем отдела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реестра и подготовка приказа о выдаче, переоформлении лицензий, либо мотивированном отказе и его подписание руководителем отдела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и регистрация приказа по итогам рассмотрения материалов на соответствие/несоответствии квалификационным требованиям прикрепленных к реестру, руководителем Услугодателя в течении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отправка уполномоченным сотрудником (сотрудниками) Услугодателя уведомления с положительным результатом, либо решения с мотивированным отказом, согласно зарегистрированного приказа, на подписание руководителю Услугодателя (1 рабочий день, после регистрации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принятых решений (30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выдачу дубликата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дубликата лицензии на подписание руководителю Услугодателя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заверение дубликата лицензии подписью и печатью руководителя Услугодателя в день поступления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дубликата лицензии Услугополучателю (20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предоставленных документов, в случае неполноты предоставленных документов, отказ в дальнейшем рассмотрении запроса (2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уполномоченным сотрудником (сотрудниками) структурного подразделения Услугодателя, в случае полноты предоставленных документов, лицензионного контроля при выдаче лицензии и (или) приложения к лицензии, переоформлении лицензии и (или) приложения к лицензии при реорганизации юридического лица-лицензиата (слияние, присоединение, разделение, выделение, преобразование) (3-10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уполномоченным сотрудником (сотрудниками) структурного подразделения Услугодателя, заключения о соответствии/несоответствии заявителя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ответственным исполнителем Услугодателя заключения и материалов о соответствии/несоответствии квалификационным требованиям заявителя на выдачу лицензии и (или) приложения к лицензии, переоформление лицензии и (или) приложения к лицензии при реорганизации юридического лица-лицензиата (слияние, присоединение, разделение, выделение, преобразование), на согласование с руководителем отдела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реестра и подготовка приказа о выдаче, переоформлении лицензий, либо мотивированном отказе и его подписание руководителем отдела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и регистрация приказа по итогам рассмотрения материалов на соответствие/несоответствии квалификационным требованиям прикрепленных к реестру, руководителем Услугодателя в течении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отправка уполномоченным сотрудником (сотрудниками) Услугодателя уведомления с положительным результатом, либо решения с мотивированным отказом, согласно зарегистрированного приказа, на подписание руководителю Услугодателя (1 рабочий день, после регистрации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принятых решений (30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выдачу дубликата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дубликата лицензии на подписание руководителю Услугодателя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заверение дубликата лицензии подписью и печатью руководителя Услугодателя в день поступления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дубликата лицензии Услугополучателю (20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предоставленных документов и подготовка заключения о соответствии заявителя, в случае неполноты предоставленных документов, отказ в дальнейшем рассмотрении запроса (2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ответственным исполнителем Услугодателя заключения и материалов о соответствии заявителя на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изменения фамилии, имени, отчества (при его наличии) физического лица-лицензиата, на согласование с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реестра и подготовка приказа о переоформлении лицензий, либо мотивированном отказе и его подписание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и регистрация приказа по итогам рассмотрения материалов прикрепленных к реестру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отправка уполномоченным сотрудником (сотрудниками) Услугодателя уведомления с положительным результатом, либо решения с мотивированным отказом, согласно зарегистрированного приказа, на подписание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принятых решений (30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неполноты предоставленных документов, отказ в дальнейшем рассмотрении обращения производится уполномоченным сотрудником Услугодателя, без внесения в реестр заявителей.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предоставленных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проведение лицензионного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заявителей;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документ, подписанный ЭЦП руководителя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 виде.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лицензирования и аттестации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аттестации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оказания государственной услуги участвуют следующие структурно-функциональные единицы (далее –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электронного Правительства (далее –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электронного правительства (далее - 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шлюз электронного правительства (далее – ПШЭП).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инспектором Государственной корпорации, который проверяет полноту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в журнале и передает документы инспектору накопительного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инспектором Государственной корпорации выдается расписка об отказе в приеме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осуществляется сотрудником канцелярии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заявление (с приложением) регистрируется в базе учета входящей корреспонденции (заявлений), и вносится на рассмотрение должностному лицу –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определяет ответственного исполнителя по рассмотрению документов и передает в канцелярию для дальнейшего направления документов исполнителю - руководителю отдела лицензирования и аттестации (далее – отдел)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отписывает заявление и документы на рассмотрение специалисту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отдела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полного пакета документов, специалист отдела производит выезд на производственную базу заявителя, для установления соответствия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заявителя квалификационным требованиям специалистом отдела Услугодателя составляется соответствующее заключение с последующим направлением материалов руководителю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полного пакета документов (указана не полная информация), специалистом отдела Услугодателя оформляется мотивированный ответ об отказе в выдаче государственной лицензии (2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формирует реестр заявителей о выдаче либо об отказе в выдаче государственной лицензии и подписывает приказ у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специалистом отдела Услугодателя готовится и передается уведомление о результатах рассмотрения заявления на получение государственной услуги на подписание должностному лицу –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руководителем Услугодателя подписывается уведомление о выдаче государственной лицензии либо мотивированный ответ об отказе в выдаче государственной лицензии с дальнейшей передачей в канцелярию для надлежащей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уведомления в канцелярии Услугодателя, при поступлении заявления через Государственную корпорацию с последующей передачей инспекторам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завершение оказания государственной услуги - выдача уведомления Услугополучателю.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индивидуальный идентификационный номер/бизнес идентификационный номер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 (далее – ПШЭП), а затем эта информация поступает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 на основании приказа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через веб-портал "электронного правительства" приведены в диаграмме функционального взаимодействия при оказании частично автоматизированной электронной государственной услуги через ПЭП,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в Государственную корпорацию, длительность обработки запроса Услугополучателя: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услуги Услугополучатель обращается в Государственную корпорацию по месту регистрации.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заявления Услугополучателя в Государственной корпорации 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телефонам, которые указаны на интернет-ресурсе Услугодателя либо в справочной службе по телефону Единого контакт-центра по вопросам оказания государственных услуг - 1414.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электронной государственной услуги через Государственную корпорацию,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график работы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2388"/>
        <w:gridCol w:w="1951"/>
        <w:gridCol w:w="3236"/>
        <w:gridCol w:w="4099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государственного архитектурно-строительного контроля города Алматы"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проспект Достык, 85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272-08-87,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261-16-16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9-00 до 18-00,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– 14-00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частично автоматизированной электронной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ПЭП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изыскательскую деятельность"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 и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*СФЕ - структурно – функциональная единица: взаимодействие структурных подразделений (работников) Услугодателя, Государственная корпорация, веб-портала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2/285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2015 года № 4/636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строительно-монтажные работы"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лицензии на строительно-монтажные работы" (далее – Регламент) разработан на основании Стандарта государственной услуги "Выдача лицензии на строительно-монтажные работы",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лицензии на строительно-монтажные работы" (далее – государственная услуга) оказывается коммунальным государственным учреждением "Управление государственного архитектурно-строительного контроля города Алматы" (далее – Услугодатель), адрес и телефоны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оказывается: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 лицензии, переоформление лицензии при реорганизации юридического лица-лицензиата в форме выделения и разделения, переоформление лицензии с присвоением категории и выдача дубликата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Сроки оказания 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лицензии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 - 3 рабочих дня.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заявление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обращении через портал – заявление в форме электронного документа, подписанное ЭЦП Услугополучателя,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предоставленных документов, в случае неполноты предоставленных документов, отказ в дальнейшем рассмотрении запроса (2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уполномоченным сотрудником (сотрудниками) структурного подразделения Услугодателя, в случае полноты предоставленных документов, лицензионного контроля при выдаче лицензии и (или) приложения к лицензии, переоформлении лицензии и (или) приложения к лицензии при реорганизации юридического лица-лицензиата (слияние, присоединение, разделение, выделение, преобразование) (3-10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заявителя квалификационным требованиям до выдачи разрешения и (или) приложения к лицензии осуществляется в порядке иной формы контроля с возможностью посещения проверяемого лица, только в случаях, когда квалификационные требования не могут быть подтверждены предоставлением документов либо не может быть установлена их достоверность.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уполномоченным сотрудником (сотрудниками) структурного подразделения Услугодателя, заключения о соответствии/несоответствии заявителя(1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ответственным исполнителем Услугодателя заключения и материалов о соответствии/несоответствии квалификационным требованиям заявителя на выдачу лицензии и (или) приложения к лицензии, переоформление лицензии и (или) приложения к лицензии при реорганизации юридического лица-лицензиата (слияние, присоединение, разделение, выделение, преобразование), на согласование с руководителем отдела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реестра и подготовка приказа о выдаче, переоформлении лицензий, либо мотивированном отказе и его подписание руководителем отдела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и регистрация приказа по итогам рассмотрения материалов на соответствие/несоответствии квалификационным требованиям прикрепленных к реестру, руководителем Услугодателя в течении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отправка уполномоченным сотрудником (сотрудниками) Услугодателя уведомления с положительным результатом, либо решения с мотивированным отказом, согласно зарегистрированного приказа, на подписание руководителю Услугодателя (1 рабочий день, после регистрации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принятых решений (30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выдачу дубликата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дубликата лицензии на подписание руководителю Услугодателя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заверение дубликата лицензии подписью и печатью руководителя Услугодателя в день поступления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дубликата лицензии Услугополучателю (20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предоставленных документов и подготовка заключения о соответствии заявителя, в случае неполноты предоставленных документов, отказ в дальнейшем рассмотрении запроса (2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ответственным исполнителем Услугодателя заключения и материалов о соответствии заявителя на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изменения фамилии, имени, отчества (при его наличии) физического лица-лицензиата, на согласование с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реестра и подготовка приказа о переоформлении лицензий, либо мотивированном отказе и его подписание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и регистрация приказа по итогам рассмотрения материалов прикрепленных к реестру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отправка уполномоченным сотрудником (сотрудниками) Услугодателя уведомления с положительным результатом, либо решения с мотивированным отказом, согласно зарегистрированного приказа, на подписание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принятых решений (30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неполноты предоставленных документов, отказ в дальнейшем рассмотрении обращения производится уполномоченным сотрудником Услугодателя, без внесения в реестр заявителей.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предоставленных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проведение лицензионного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заявителей;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документ, подписанный ЭЦП руководителя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 виде.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лицензирования и аттестации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аттестации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оказания государственной услуги участвуют следующие структурно-функциональные единицы (далее –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электронного Правительства (далее –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электронного правительства (далее - 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шлюз электронного правительства (далее – ПШЭП).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инспектором Государственной корпорации, который проверяет полноту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в журнале и передает документы инспектору накопительного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инспектором Государственной корпорации выдается расписка об отказе в приеме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осуществляется сотрудником канцелярии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заявление (с приложением) регистрируется в базе учета входящей корреспонденции (заявлений), и вносится на рассмотрение должностному лицу –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определяет ответственного исполнителя по рассмотрению документов и передает в канцелярию для дальнейшего направления документов исполнителю - руководителю отдела лицензирования и аттестации (далее – отдел)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отписывает заявление и документы на рассмотрение специалисту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отдела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полного пакета документов, специалист отдела производит выезд на производственную базу заявителя, для установления соответствия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заявителя квалификационным требованиям специалистом отдела Услугодателя составляется соответствующее заключение с последующим направлением материалов руководителю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полного пакета документов (указана не полная информация), специалистом отдела Услугодателя оформляется мотивированный ответ об отказе в выдаче государственной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формирует реестр заявителей о выдаче либо об отказе в выдаче государственной лицензии и подписывает приказ у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специалистом отдела Услугополучателя готовится и передается уведомление о результатах рассмотрения заявления на получение государственной услуги на подписание должностному лицу –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руководителем Услугодателя подписывается уведомление о выдаче государственной лицензии либо мотивированный ответ об отказе в выдаче государственной лицензии с дальнейшей передачей в канцелярию для надлежащей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уведомления в канцелярии Услугодателя, при поступлении заявления через Государственную корпорацию с последующей передачей инспекторам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завершение оказания государственной услуги - выдача уведомления Услугополучателю. 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индивидуальный идентификационный номер/бизнес идентификационный номер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 (далее – ПШЭП), а затем эта информация поступает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8 – удостоверение (подписание) посредством ЭЦП 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 на основании приказа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через веб-портал "электронного правительства" приведены в диаграмме функционального взаимодействия при оказании частично автоматизированной электронной государственной услуги через ПЭП,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в Государственной корпорации, длительность обработки запроса Услугополучателя: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услуги Услугополучатель обращается в Государственную корпорацию по месту регистрации.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приложению 8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заявления Услугополучателя в Государственной корпорации 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телефонам, которые указаны на интернет-ресурсе Услугодателя либо в справочной службе по телефону Единого контакт-центра по вопросам оказания государственных услуг - 1414.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электронной государственной услуги через Государственную корпорацию,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график работы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2388"/>
        <w:gridCol w:w="1951"/>
        <w:gridCol w:w="3236"/>
        <w:gridCol w:w="4099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государственного архитектурно-строительного контроля города Алматы"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проспект Достык, 85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272-08-87,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261-16-16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9-00 до 18-00,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– 14-00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частично автоматизированной электронной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ПЭП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строительно-монтажные работы"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 и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*СФЕ - структурно – функциональная единица: взаимодействие структурных подразделений (работников) Услугодателя, Государственная корпорация, веб-портала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2/285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4/636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организации</w:t>
      </w:r>
      <w:r>
        <w:br/>
      </w:r>
      <w:r>
        <w:rPr>
          <w:rFonts w:ascii="Times New Roman"/>
          <w:b/>
          <w:i w:val="false"/>
          <w:color w:val="000000"/>
        </w:rPr>
        <w:t>строительства жилых зданий за счет</w:t>
      </w:r>
      <w:r>
        <w:br/>
      </w:r>
      <w:r>
        <w:rPr>
          <w:rFonts w:ascii="Times New Roman"/>
          <w:b/>
          <w:i w:val="false"/>
          <w:color w:val="000000"/>
        </w:rPr>
        <w:t>привлечения денег дольщиков"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лицензии на деятельность по организации строительства жилых зданий за счет привлечения денег дольщиков" (далее – Регламент) разработан на основании Стандарта государственной услуги "Выдача лицензии на деятельность по организации строительства жилых зданий за счет привлечения денег дольщиков",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лицензии на деятельность по организации строительства жилых зданий за счет привлечения денег дольщиков" (далее – государственная услуга) оказывается коммунальным государственным учреждением "Управление государственного архитектурно-строительного контроля города Алматы" (далее – Услугодатель), адрес и телефоны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оказывается: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 лицензии, переоформление лицензии при реорганизации юридического лица-лицензиата в форме выделения и разделения, переоформление лицензии с присвоением категории и выдача дубликата лицензии на деятельность по организации строительства жилых зданий за счет привлечения денег дольщиков,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Сроки оказания 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лицензии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изменении фамилии, имени, отчества (при его наличии) физического лица-лицензиата - 3 рабочих дня.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заявление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– заявление в форме электронного документа, подписанное ЭЦП Услугополучателя,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предоставленных документов, в случае неполноты предоставленных документов, отказ в дальнейшем рассмотрении запроса (2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уполномоченным сотрудником (сотрудниками) структурного подразделения Услугодателя, в случае полноты предоставленных документов, лицензионного контроля при выдаче лицензии и (или) приложения к лицензии, переоформления лицензии и (или) приложения к лицензии при реорганизации юридического лица-лицензиата (слияние, присоединение, разделение, выделение, преобразование) (3-10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заявителя квалификационным требованиям до выдачи разрешения и (или) приложения к лицензии осуществляется в порядке иной формы контроля с возможностью посещения проверяемого лица, только в случаях, когда квалификационные требования не могут быть подтверждены предоставлением документов либо не может быть установлена их достоверность.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уполномоченным сотрудником (сотрудниками) структурного подразделения Услугодателя, заключения о соответствии/несоответствии заявителя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ответственным исполнителем Услугодателя заключения и материалов о соответствии/несоответствии квалификационным требованиям заявителя на выдачу лицензии и (или) приложения к лицензии, переоформление лицензии и (или) приложения к лицензии при реорганизации юридического лица-лицензиата (слияние, присоединение, разделение, выделение, преобразование), на согласование с руководителем отдела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реестра и подготовка приказа о выдаче, переоформлении лицензий, либо мотивированном отказе и его подписание руководителем отдела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и регистрация приказа по итогам рассмотрения материалов на соответствие/несоответствии квалификационным требованиям прикрепленных к реестру, руководителем Услугодателя в течении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отправка уполномоченным сотрудником (сотрудниками) Услугодателя уведомления с положительным результатом, либо решения с мотивированным отказом, согласно зарегистрированного приказа, на подписание руководителю Услугодателя (1 рабочий день, после регистрации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принятых решений (30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выдачу дубликата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дубликата лицензии на подписание руководителю Услугодателя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заверение дубликата лицензии подписью и печатью руководителя Услугодателя в день поступления (1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дубликата лицензии Услугополучателю (20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услуги, поступившее через портал или через Государственную корпорацию уполномоченным сотрудником Услугодателя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предоставленных документов и подготовка заключения о соответствии заявителя, в случае неполноты предоставленных документов, отказ в дальнейшем рассмотрении запроса (2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ответственным исполнителем Услугодателя заключения и материалов о соответствии заявителя на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изменения фамилии, имени, отчества (при его наличии) физического лица-лицензиата, на согласование с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реестра и подготовка приказа о переоформлении лицензий, либо мотивированном отказе и его подписание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и регистрация приказа по итогам рассмотрения материалов прикрепленных к реестру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отправка уполномоченным сотрудником (сотрудниками) Услугодателя уведомления с положительным результатом, либо решения с мотивированным отказом, согласно зарегистрированного приказа, на подписание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принятых решений (30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неполноты предоставленных документов, отказ в дальнейшем рассмотрении обращения производится уполномоченным сотрудником Услугодателя, без внесения в реестр заявителей.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предоставленных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проведение лицензионного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заявителей;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документ, подписанный ЭЦП руководителя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виде, либо на бумажном носителе в случае подачи обращения в бумажном виде.</w:t>
      </w:r>
    </w:p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лицензирования и аттестации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аттестации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оказания государственной услуги участвуют следующие структурно-функциональные единицы (далее –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электронного Правительства (далее –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электронного правительства (далее - 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шлюз электронного правительства (далее – ПШЭП).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инспектором Государственной корпорации, который проверяет полноту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в журнале и передает документы инспектору накопительного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инспектором Государственной корпорации выдается расписка об отказе в приеме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осуществляется сотрудником канцелярии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заявление (с приложением) регистрируется в базе учета входящей корреспонденции (заявлений), и вносится на рассмотрение должностному лицу –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определяет ответственного исполнителя по рассмотрению документов и передает в канцелярию для дальнейшего направления документов исполнителю - руководителю отдела лицензирования и аттестации (далее – отдел)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отписывает заявление и документы на рассмотрение специалисту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отдела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полного пакета документов, специалист отдела производит выезд на производственную базу заявителя, для установления соответствия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заявителя квалификационным требованиям специалистом отдела Услугодателя составляется соответствующее заключение с последующим направлением материалов руководителю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полного пакета документов (указана не полная информация), специалистом отдела Услугодателя оформляется мотивированный ответ об отказе в выдаче государственной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формирует реестр заявителей о выдаче либо об отказе в выдаче государственной лицензии и подписывает приказ у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специалистом отдела Услугодателя готовится и передается уведомление о результатах рассмотрения заявления на получение государственной услуги на подписание должностному лицу –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руководителем Услугодателя подписывается уведомление о выдаче государственной лицензии либо мотивированный ответ об отказе в выдаче государственной лицензии с дальнейшей передачей в канцелярию для надлежащей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уведомления в канцелярии Услугодателя, при поступлении заявления через Государственную корпорацию с последующей передачей инспекторам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завершение оказания государственной услуги - выдача уведомления Услугополучателю.</w:t>
      </w:r>
    </w:p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индивидуальный идентификационный номер/бизнес идентификационный номер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 (далее – ПШЭП), а затем эта информация поступает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8 – удостоверение (подписание) посредством ЭЦП 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 на основании приказа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через веб-портал "электронного правительства" приведены в диаграмме функционального взаимодействия при оказании частично автоматизированной электронной государственной услуги через ПЭП,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в Государственную корпорацию, длительность обработки запроса Услугополучателя: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услуги Услугополучатель обращается в Государственную корпорацию по месту регистрации.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заявления Услугополучателя в Государственной корпорации 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телефонам, которые указаны на интернет-ресурсе Услугодателя либо в справочной службе по телефону Единого контакт-центра по вопросам оказания государственных услуг - 1414.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электронной государственной услуги через Государственную корпорацию,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зданий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денег дольщиков"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график работы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805"/>
        <w:gridCol w:w="1474"/>
        <w:gridCol w:w="2445"/>
        <w:gridCol w:w="610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государственного архитектурно-строительного контроля города Алматы"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проспект Достык, 85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272-08-87,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261-16-16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18-00, перерыв: 13-00 – 14-00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зданий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денег дольщиков"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частично автоматизированной электронной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ПЭП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зданий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денег дольщиков"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лицензии на деятельность по организации</w:t>
      </w:r>
      <w:r>
        <w:br/>
      </w:r>
      <w:r>
        <w:rPr>
          <w:rFonts w:ascii="Times New Roman"/>
          <w:b/>
          <w:i w:val="false"/>
          <w:color w:val="000000"/>
        </w:rPr>
        <w:t>строительства жилых зданий за счет привлечения денег</w:t>
      </w:r>
      <w:r>
        <w:br/>
      </w:r>
      <w:r>
        <w:rPr>
          <w:rFonts w:ascii="Times New Roman"/>
          <w:b/>
          <w:i w:val="false"/>
          <w:color w:val="000000"/>
        </w:rPr>
        <w:t xml:space="preserve">дольщиков" через Государственную корпорацию и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*СФЕ - структурно – функциональная единица: взаимодействие структурных подразделений (работников) Услугодателя, Государственная корпорация, веб-портала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