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8f29" w14:textId="a468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августа 2016 года № 3/380. Зарегистрировано Департаментом юстиции города Алматы 14 сентября 2016 года № 1308. Утратило силу постановлением акимата города Алматы от 28 декабря 2020 года № 4/620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28.12.2020 № 4/620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3/380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аттестации на присвоение (подтверждение) квалификационных категорий</w:t>
      </w:r>
      <w:r>
        <w:br/>
      </w:r>
      <w:r>
        <w:rPr>
          <w:rFonts w:ascii="Times New Roman"/>
          <w:b/>
          <w:i w:val="false"/>
          <w:color w:val="000000"/>
        </w:rPr>
        <w:t>педагогическим работникам и приравненным к ним лицам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программы дошкольного воспитания и обучения,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среднего, общего среднего, технического и</w:t>
      </w:r>
      <w:r>
        <w:br/>
      </w:r>
      <w:r>
        <w:rPr>
          <w:rFonts w:ascii="Times New Roman"/>
          <w:b/>
          <w:i w:val="false"/>
          <w:color w:val="000000"/>
        </w:rPr>
        <w:t xml:space="preserve">профессионального, послесреднего образования"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20.08.2019 № 3/498 (вводится в действие по истечении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коммунальным государственным учреждением "Управление образования города Алматы",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 на основании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сотрудником канцелярии услугодателя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специалистом услугодателя результата оказания государственной услуги, длительность процедуры - 3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результата оказания государственной услуги, длительность процедуры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подписывание у руководителя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выдачи услугополучателю, длительность процедуры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выдает результат оказания государственной услуги услугополучателю, длительность процедуры – 15 минут.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заявлений и полноту пакета документов и выдает услугополучателю расписку о приеме соответствующих докуентов, длительность процедуры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длительность процедуры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идентифицируют личность услугополучателя, вносит соответствующую информацию об услугополучателе и список поданных документов, длительность процедуры - 3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пакет документов и направляет его в накопительный отдел Государственной корпорации для передачи услугодателю через курьерскую связь,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выдает курьеру Государственной корпорации расписку с указанием даты приема пакета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передачи курьеру Государственной корпорации, длительность процедуры - 3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передает курьеру Государственной корпорации результат оказания государственной услуги для передачи услугополучателю,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и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лицам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09"/>
        <w:gridCol w:w="7091"/>
      </w:tblGrid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процедуры (действия) услугополучателя и (или) структурных подразделений (работников) услугодателя;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