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0be8" w14:textId="ce80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28 января 2016 года № 39-7. Зарегистрировано Департаментом юстиции Северо-Казахстанской области 15 февраля 2016 года № 3622. Утратило силу решением маслихата Аккайынского района Северо-Казахстанской области от 29 ноября 2016 года № 7-11</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29.11.2016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Аккайынского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маслихата Аккайынского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ХХXIХ сессии V 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28 января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 решением маслихата Аккайынского района № 39-7 от 28 января 2016 года</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w:t>
      </w:r>
    </w:p>
    <w:bookmarkEnd w:id="0"/>
    <w:p>
      <w:pPr>
        <w:spacing w:after="0"/>
        <w:ind w:left="0"/>
        <w:jc w:val="left"/>
      </w:pPr>
      <w:r>
        <w:rPr>
          <w:rFonts w:ascii="Times New Roman"/>
          <w:b w:val="false"/>
          <w:i w:val="false"/>
          <w:color w:val="ff0000"/>
          <w:sz w:val="28"/>
        </w:rPr>
        <w:t xml:space="preserve">      Сноска. Правила - в редакции решения маслихата Аккайынского района Северо-Казахстанской области от 18.05.2016 </w:t>
      </w:r>
      <w:r>
        <w:rPr>
          <w:rFonts w:ascii="Times New Roman"/>
          <w:b w:val="false"/>
          <w:i w:val="false"/>
          <w:color w:val="ff0000"/>
          <w:sz w:val="28"/>
        </w:rPr>
        <w:t>N 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приказом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xml:space="preserve">1) памятные даты – события, имеющие общенародное историческое, духовное и культурное значение и оказавшие влияние на ход истории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 специальная комиссия–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праздничные дни – дни национальных и государственных праздников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5) среднедушевой доход семьи (гражданина) – доля совокупного дохода семьи, приходящаяся на каждого члена семьи в месяц; </w:t>
      </w:r>
      <w:r>
        <w:br/>
      </w:r>
      <w:r>
        <w:rPr>
          <w:rFonts w:ascii="Times New Roman"/>
          <w:b w:val="false"/>
          <w:i w:val="false"/>
          <w:color w:val="000000"/>
          <w:sz w:val="28"/>
        </w:rPr>
        <w:t>
      </w:t>
      </w:r>
      <w:r>
        <w:rPr>
          <w:rFonts w:ascii="Times New Roman"/>
          <w:b w:val="false"/>
          <w:i w:val="false"/>
          <w:color w:val="000000"/>
          <w:sz w:val="28"/>
        </w:rPr>
        <w:t xml:space="preserve">6) трудная жизненная ситуация – ситуация, объективно нарушающая жизнедеятельность гражданина, которую он не может преодолеть самостоятельно; </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"Аккайынский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8) Государственная корпорация "Правительство для граждан" (далее-уполномоченная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 </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определяющие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определяющие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(далее–индивидуальный план) – план мероприятии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16)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Аккайынского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указанных в приложении 1 к настоящим Правилам один раз в год.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категории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устанавливается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 </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указанного в подпункте 14) приложения 3 к настоящим Правилам предоставляется гражданам (семье) единовременно в размере не более 80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указанного в подпункте 16) приложения 3 к настоящим Правилам предоставляется один раз в два года в размере не более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15.Социальная помощь по основанию, указанного в подпункте 17) приложения 3 к настоящим Правилам предоставляется один раз в год в размере не более 10 (десяти)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18)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указанного в подпункте 19) приложения 3 к настоящим Правилам предоставляется единовременно в размере 10 (десяти)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20) приложения 3 к настоящим Правилам предоставляется единовременно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три месяца, предшествующий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xml:space="preserve"> 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Порядок оказания социальной помощи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2) документ, подтверждающий регистрацию по месту жительства; </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22. Документы предоставляются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 </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xml:space="preserve">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самостоятельно занятых, безработных, за исключением случаев, предусмотренных пунктом 36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 xml:space="preserve"> 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 xml:space="preserve">37. Участие в мерах содействия занятости является обязательным условием для трудоспособных членов семьи, за исключением следующих случаев: </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xml:space="preserve">1) смерти получателя; </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 xml:space="preserve">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20"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000"/>
        <w:gridCol w:w="918"/>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50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пределами Казахстана;</w:t>
            </w:r>
            <w:r>
              <w:br/>
            </w:r>
            <w:r>
              <w:rPr>
                <w:rFonts w:ascii="Times New Roman"/>
                <w:b w:val="false"/>
                <w:i w:val="false"/>
                <w:color w:val="000000"/>
                <w:sz w:val="20"/>
              </w:rPr>
              <w:t>
г) применение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3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10 месячных расчетных показателей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62"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713"/>
        <w:gridCol w:w="3819"/>
        <w:gridCol w:w="3825"/>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Категории получателей социальной помощи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и кратность оказания социальной помощи </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 xml:space="preserve">за социальной помощью </w:t>
            </w: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80 минимальных расчетных показателей, единовременно</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4 месяцев со дня наступления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66"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лиц приравненных по льготам и гарантиям к участникам и инвалидам Великой Отечественной войны и других категории лиц, приравненных по льготам и гарантиям к участникам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(за исключением зубопротезирования из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лиц приравненных по льготам и гарантиям к участникам и инвалидам Великой Отечественной войны и других категории лиц, приравненных по льготам и гарантиям к участникам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 (с 1 января 2017 года);</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нуждаемость лиц, больных активной формой туберкулеза, в оказании социальной помощи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20) нуждаемость лиц, больных онкологическим заболеванием 3-4 стадии, в оказании социальной помощи по предъявлению справки из учреждения здравоохранения.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88" w:id="10"/>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bookmarkEnd w:id="10"/>
    <w:bookmarkStart w:name="z189" w:id="11"/>
    <w:p>
      <w:pPr>
        <w:spacing w:after="0"/>
        <w:ind w:left="0"/>
        <w:jc w:val="left"/>
      </w:pPr>
      <w:r>
        <w:rPr>
          <w:rFonts w:ascii="Times New Roman"/>
          <w:b/>
          <w:i w:val="false"/>
          <w:color w:val="000000"/>
        </w:rPr>
        <w:t xml:space="preserve"> Сведения о составе семьи заявителя</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(Ф.И.О. заявителя) (домашний адрес, тел.)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98" w:id="12"/>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2"/>
    <w:bookmarkStart w:name="z199" w:id="13"/>
    <w:p>
      <w:pPr>
        <w:spacing w:after="0"/>
        <w:ind w:left="0"/>
        <w:jc w:val="both"/>
      </w:pPr>
      <w:r>
        <w:rPr>
          <w:rFonts w:ascii="Times New Roman"/>
          <w:b w:val="false"/>
          <w:i w:val="false"/>
          <w:color w:val="000000"/>
          <w:sz w:val="28"/>
        </w:rPr>
        <w:t xml:space="preserve">            от "___" ________ 20___г. ______________________ </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3.Трудная жизненная ситуация, в связи с наступлением которой заявитель обратился за социальной помощью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10"/>
        <w:gridCol w:w="855"/>
        <w:gridCol w:w="1012"/>
        <w:gridCol w:w="1012"/>
        <w:gridCol w:w="1012"/>
        <w:gridCol w:w="3877"/>
        <w:gridCol w:w="133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рождения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 </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к </w:t>
            </w:r>
            <w:r>
              <w:br/>
            </w:r>
            <w:r>
              <w:rPr>
                <w:rFonts w:ascii="Times New Roman"/>
                <w:b w:val="false"/>
                <w:i w:val="false"/>
                <w:color w:val="000000"/>
                <w:sz w:val="20"/>
              </w:rPr>
              <w:t xml:space="preserve">заяви- </w:t>
            </w:r>
            <w:r>
              <w:br/>
            </w:r>
            <w:r>
              <w:rPr>
                <w:rFonts w:ascii="Times New Roman"/>
                <w:b w:val="false"/>
                <w:i w:val="false"/>
                <w:color w:val="000000"/>
                <w:sz w:val="20"/>
              </w:rPr>
              <w:t>телю</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w:t>
            </w:r>
            <w:r>
              <w:br/>
            </w:r>
            <w:r>
              <w:rPr>
                <w:rFonts w:ascii="Times New Roman"/>
                <w:b w:val="false"/>
                <w:i w:val="false"/>
                <w:color w:val="000000"/>
                <w:sz w:val="20"/>
              </w:rPr>
              <w:t>тость</w:t>
            </w:r>
            <w:r>
              <w:br/>
            </w:r>
            <w:r>
              <w:rPr>
                <w:rFonts w:ascii="Times New Roman"/>
                <w:b w:val="false"/>
                <w:i w:val="false"/>
                <w:color w:val="000000"/>
                <w:sz w:val="20"/>
              </w:rPr>
              <w:t xml:space="preserve">(место </w:t>
            </w:r>
            <w:r>
              <w:br/>
            </w:r>
            <w:r>
              <w:rPr>
                <w:rFonts w:ascii="Times New Roman"/>
                <w:b w:val="false"/>
                <w:i w:val="false"/>
                <w:color w:val="000000"/>
                <w:sz w:val="20"/>
              </w:rPr>
              <w:t xml:space="preserve">работы, </w:t>
            </w:r>
            <w:r>
              <w:br/>
            </w:r>
            <w:r>
              <w:rPr>
                <w:rFonts w:ascii="Times New Roman"/>
                <w:b w:val="false"/>
                <w:i w:val="false"/>
                <w:color w:val="000000"/>
                <w:sz w:val="20"/>
              </w:rPr>
              <w:t xml:space="preserve">учебы)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 </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нятости</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участии в </w:t>
            </w:r>
            <w:r>
              <w:br/>
            </w:r>
            <w:r>
              <w:rPr>
                <w:rFonts w:ascii="Times New Roman"/>
                <w:b w:val="false"/>
                <w:i w:val="false"/>
                <w:color w:val="000000"/>
                <w:sz w:val="20"/>
              </w:rPr>
              <w:t xml:space="preserve">общественных </w:t>
            </w:r>
            <w:r>
              <w:br/>
            </w:r>
            <w:r>
              <w:rPr>
                <w:rFonts w:ascii="Times New Roman"/>
                <w:b w:val="false"/>
                <w:i w:val="false"/>
                <w:color w:val="000000"/>
                <w:sz w:val="20"/>
              </w:rPr>
              <w:t xml:space="preserve">работах, </w:t>
            </w:r>
            <w:r>
              <w:br/>
            </w:r>
            <w:r>
              <w:rPr>
                <w:rFonts w:ascii="Times New Roman"/>
                <w:b w:val="false"/>
                <w:i w:val="false"/>
                <w:color w:val="000000"/>
                <w:sz w:val="20"/>
              </w:rPr>
              <w:t xml:space="preserve">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9. Обеспеченность детей школьными принадлежностями, одеждой, обувью: 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 _____________________ </w:t>
      </w:r>
      <w:r>
        <w:br/>
      </w:r>
      <w:r>
        <w:rPr>
          <w:rFonts w:ascii="Times New Roman"/>
          <w:b w:val="false"/>
          <w:i w:val="false"/>
          <w:color w:val="000000"/>
          <w:sz w:val="28"/>
        </w:rPr>
        <w:t xml:space="preserve"> Члены комиссии: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40" w:id="14"/>
    <w:p>
      <w:pPr>
        <w:spacing w:after="0"/>
        <w:ind w:left="0"/>
        <w:jc w:val="left"/>
      </w:pPr>
      <w:r>
        <w:rPr>
          <w:rFonts w:ascii="Times New Roman"/>
          <w:b/>
          <w:i w:val="false"/>
          <w:color w:val="000000"/>
        </w:rPr>
        <w:t xml:space="preserve"> Заключение участковой комиссии № __ </w:t>
      </w:r>
    </w:p>
    <w:bookmarkEnd w:id="14"/>
    <w:bookmarkStart w:name="z241" w:id="15"/>
    <w:p>
      <w:pPr>
        <w:spacing w:after="0"/>
        <w:ind w:left="0"/>
        <w:jc w:val="both"/>
      </w:pPr>
      <w:r>
        <w:rPr>
          <w:rFonts w:ascii="Times New Roman"/>
          <w:b w:val="false"/>
          <w:i w:val="false"/>
          <w:color w:val="000000"/>
          <w:sz w:val="28"/>
        </w:rPr>
        <w:t xml:space="preserve">            __ _________ 20__ г. </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w:t>
      </w:r>
    </w:p>
    <w:bookmarkStart w:name="z243" w:id="16"/>
    <w:p>
      <w:pPr>
        <w:spacing w:after="0"/>
        <w:ind w:left="0"/>
        <w:jc w:val="both"/>
      </w:pPr>
      <w:r>
        <w:rPr>
          <w:rFonts w:ascii="Times New Roman"/>
          <w:b w:val="false"/>
          <w:i w:val="false"/>
          <w:color w:val="000000"/>
          <w:sz w:val="28"/>
        </w:rPr>
        <w:t>            (фамилия, имя, отчество заявителя)</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_________________ __________________________ </w:t>
      </w:r>
      <w:r>
        <w:br/>
      </w:r>
      <w:r>
        <w:rPr>
          <w:rFonts w:ascii="Times New Roman"/>
          <w:b w:val="false"/>
          <w:i w:val="false"/>
          <w:color w:val="000000"/>
          <w:sz w:val="28"/>
        </w:rPr>
        <w:t xml:space="preserve">Члены комиссии: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принято "__"____________ 20__ г.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p>
    <w:bookmarkStart w:name="z250" w:id="17"/>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52" w:id="18"/>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81" w:id="19"/>
    <w:p>
      <w:pPr>
        <w:spacing w:after="0"/>
        <w:ind w:left="0"/>
        <w:jc w:val="left"/>
      </w:pPr>
      <w:r>
        <w:rPr>
          <w:rFonts w:ascii="Times New Roman"/>
          <w:b/>
          <w:i w:val="false"/>
          <w:color w:val="000000"/>
        </w:rPr>
        <w:t xml:space="preserve"> Анкета о семейном и материальном положении заявителя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33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0"/>
        <w:gridCol w:w="5071"/>
        <w:gridCol w:w="860"/>
        <w:gridCol w:w="860"/>
        <w:gridCol w:w="860"/>
        <w:gridCol w:w="553"/>
        <w:gridCol w:w="553"/>
        <w:gridCol w:w="5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3 месяца,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305" w:id="20"/>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307" w:id="21"/>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p>
    <w:bookmarkStart w:name="z309" w:id="22"/>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340" w:id="23"/>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w:t>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382" w:id="24"/>
    <w:p>
      <w:pPr>
        <w:spacing w:after="0"/>
        <w:ind w:left="0"/>
        <w:jc w:val="left"/>
      </w:pPr>
      <w:r>
        <w:rPr>
          <w:rFonts w:ascii="Times New Roman"/>
          <w:b/>
          <w:i w:val="false"/>
          <w:color w:val="000000"/>
        </w:rPr>
        <w:t xml:space="preserve"> Социальный контракт активизации семьи</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p>
    <w:bookmarkStart w:name="z384" w:id="25"/>
    <w:p>
      <w:pPr>
        <w:spacing w:after="0"/>
        <w:ind w:left="0"/>
        <w:jc w:val="both"/>
      </w:pPr>
      <w:r>
        <w:rPr>
          <w:rFonts w:ascii="Times New Roman"/>
          <w:b w:val="false"/>
          <w:i w:val="false"/>
          <w:color w:val="000000"/>
          <w:sz w:val="28"/>
        </w:rPr>
        <w:t>            ____________________________________________________________________ (наименование уполномоченного органа)</w:t>
      </w:r>
      <w:r>
        <w:br/>
      </w:r>
      <w:r>
        <w:rPr>
          <w:rFonts w:ascii="Times New Roman"/>
          <w:b w:val="false"/>
          <w:i w:val="false"/>
          <w:color w:val="000000"/>
          <w:sz w:val="28"/>
        </w:rPr>
        <w:t>
</w:t>
      </w:r>
    </w:p>
    <w:bookmarkEnd w:id="25"/>
    <w:bookmarkStart w:name="z385" w:id="26"/>
    <w:p>
      <w:pPr>
        <w:spacing w:after="0"/>
        <w:ind w:left="0"/>
        <w:jc w:val="both"/>
      </w:pP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обусловленной денежной помощи на основе социального контракта активизации семьии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обусловленной денежной помощи о нижеследующем:</w:t>
      </w:r>
      <w:r>
        <w:br/>
      </w:r>
      <w:r>
        <w:rPr>
          <w:rFonts w:ascii="Times New Roman"/>
          <w:b w:val="false"/>
          <w:i w:val="false"/>
          <w:color w:val="000000"/>
          <w:sz w:val="28"/>
        </w:rPr>
        <w:t>
</w:t>
      </w:r>
    </w:p>
    <w:bookmarkStart w:name="z388" w:id="27"/>
    <w:p>
      <w:pPr>
        <w:spacing w:after="0"/>
        <w:ind w:left="0"/>
        <w:jc w:val="left"/>
      </w:pPr>
      <w:r>
        <w:rPr>
          <w:rFonts w:ascii="Times New Roman"/>
          <w:b/>
          <w:i w:val="false"/>
          <w:color w:val="000000"/>
        </w:rPr>
        <w:t xml:space="preserve"> 1. Предмет контракта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90" w:id="28"/>
    <w:p>
      <w:pPr>
        <w:spacing w:after="0"/>
        <w:ind w:left="0"/>
        <w:jc w:val="left"/>
      </w:pPr>
      <w:r>
        <w:rPr>
          <w:rFonts w:ascii="Times New Roman"/>
          <w:b/>
          <w:i w:val="false"/>
          <w:color w:val="000000"/>
        </w:rPr>
        <w:t xml:space="preserve"> 2. Обязанности сторон контракта</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 (ых) контракта (ов), заключенного (ых)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акимомсела (по согласованию с отделом занятости и социальных программ, акимомсела),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412" w:id="29"/>
    <w:p>
      <w:pPr>
        <w:spacing w:after="0"/>
        <w:ind w:left="0"/>
        <w:jc w:val="left"/>
      </w:pPr>
      <w:r>
        <w:rPr>
          <w:rFonts w:ascii="Times New Roman"/>
          <w:b/>
          <w:i w:val="false"/>
          <w:color w:val="000000"/>
        </w:rPr>
        <w:t xml:space="preserve"> 3. Права сторон</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обусловленной денежной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 xml:space="preserve"> 4) прекращает выплату обусловленной денежной помощи на контрактной основе, если семья (лицо) не выполняет обязательств контракта и социального контракта, заключенногос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3) потребует перерасчета обусловленной денежной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25" w:id="30"/>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30" w:id="31"/>
    <w:p>
      <w:pPr>
        <w:spacing w:after="0"/>
        <w:ind w:left="0"/>
        <w:jc w:val="left"/>
      </w:pPr>
      <w:r>
        <w:rPr>
          <w:rFonts w:ascii="Times New Roman"/>
          <w:b/>
          <w:i w:val="false"/>
          <w:color w:val="000000"/>
        </w:rPr>
        <w:t xml:space="preserve"> 5. Непредвиденные обстоятельства</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35" w:id="32"/>
    <w:p>
      <w:pPr>
        <w:spacing w:after="0"/>
        <w:ind w:left="0"/>
        <w:jc w:val="left"/>
      </w:pPr>
      <w:r>
        <w:rPr>
          <w:rFonts w:ascii="Times New Roman"/>
          <w:b/>
          <w:i w:val="false"/>
          <w:color w:val="000000"/>
        </w:rPr>
        <w:t xml:space="preserve"> 6. Прочие условия</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xml:space="preserve">
      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от 28 января 2016 года №39-7</w:t>
            </w:r>
          </w:p>
        </w:tc>
      </w:tr>
    </w:tbl>
    <w:bookmarkStart w:name="z439" w:id="33"/>
    <w:p>
      <w:pPr>
        <w:spacing w:after="0"/>
        <w:ind w:left="0"/>
        <w:jc w:val="left"/>
      </w:pPr>
      <w:r>
        <w:rPr>
          <w:rFonts w:ascii="Times New Roman"/>
          <w:b/>
          <w:i w:val="false"/>
          <w:color w:val="000000"/>
        </w:rPr>
        <w:t xml:space="preserve"> Перечень нормативных правовых актов маслихата Аккайынского района, признанных утратившими силу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2574 от 27 февраля 2014 года, опубликовано 13 марта 2014 года в газете "Аққайың", 13 марта 2014 года в газете "Колос").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от 25 июля 2014 года № 26-2 "О внесении изменения в решение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2920 от 26 августа 2014 года, опубликовано 4 сентября 2014 года в газете "Аққайың", 4 сентября 2014 года в газете "Колос").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от 24 декабря 2014 года № 29-3 "О внесении изменений в решение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3076 от 23 января 2015 года, опубликовано 5 февраля 2015 года в газете "Аққайың", 5 февраля 2015 года в газете "Колос").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