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9349" w14:textId="5599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Акжарского районного маслихата Северо-Казахстанской области от 17 марта 2016 года № 43-2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27 октября 2016 года N 6-4. Зарегистрировано Департаментом юстиции Северо-Казахстанской области 18 ноября 2016 года N 3935. Утратило силу решением маслихата Акжарского района Северо-Казахстанской области от 03 апреля 2017 года № 13-3</w:t>
      </w:r>
    </w:p>
    <w:p>
      <w:pPr>
        <w:spacing w:after="0"/>
        <w:ind w:left="0"/>
        <w:jc w:val="left"/>
      </w:pPr>
      <w:r>
        <w:rPr>
          <w:rFonts w:ascii="Times New Roman"/>
          <w:b w:val="false"/>
          <w:i w:val="false"/>
          <w:color w:val="ff0000"/>
          <w:sz w:val="28"/>
        </w:rPr>
        <w:t xml:space="preserve">      Сноска. Утратило силу решением маслихата Акжарского района Северо-Казахстанской области от 03.04.2017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17 марта 2016 года №43-2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под №3719 от 18 апреля 2016 года и опубликовано 22 апреля 2016 года в информационно-правовой системе нормативных правовых актов Республики Казахстан "Әділет")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на оказание социальной помощи исчисляется путем деления совокупного дохода, полученного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 соответственно.</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Акжарского 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Акжарского 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7 ноября 2016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 районного маслихата Северо-Казахстанской области от 27 октября 2016 года № _</w:t>
            </w:r>
            <w:r>
              <w:rPr>
                <w:rFonts w:ascii="Times New Roman"/>
                <w:b w:val="false"/>
                <w:i w:val="false"/>
                <w:color w:val="000000"/>
                <w:sz w:val="20"/>
                <w:u w:val="single"/>
              </w:rPr>
              <w:t>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w:t>
            </w:r>
          </w:p>
        </w:tc>
      </w:tr>
    </w:tbl>
    <w:bookmarkStart w:name="z27" w:id="0"/>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7"/>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Акжарского районного маслихата Северо-Казахстанской области от 27 октября 2016 года № _</w:t>
            </w:r>
            <w:r>
              <w:rPr>
                <w:rFonts w:ascii="Times New Roman"/>
                <w:b w:val="false"/>
                <w:i w:val="false"/>
                <w:color w:val="000000"/>
                <w:sz w:val="20"/>
                <w:u w:val="single"/>
              </w:rPr>
              <w:t>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w:t>
            </w:r>
          </w:p>
        </w:tc>
      </w:tr>
    </w:tbl>
    <w:bookmarkStart w:name="z70" w:id="1"/>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металлоакрила (с 1 января 2017 года);</w:t>
      </w:r>
      <w:r>
        <w:br/>
      </w:r>
      <w:r>
        <w:rPr>
          <w:rFonts w:ascii="Times New Roman"/>
          <w:b w:val="false"/>
          <w:i w:val="false"/>
          <w:color w:val="000000"/>
          <w:sz w:val="28"/>
        </w:rPr>
        <w:t>
      </w:t>
      </w:r>
      <w:r>
        <w:rPr>
          <w:rFonts w:ascii="Times New Roman"/>
          <w:b w:val="false"/>
          <w:i w:val="false"/>
          <w:color w:val="000000"/>
          <w:sz w:val="28"/>
        </w:rPr>
        <w:t xml:space="preserve">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 (с 1 января 2017 года);</w:t>
      </w:r>
      <w:r>
        <w:br/>
      </w:r>
      <w:r>
        <w:rPr>
          <w:rFonts w:ascii="Times New Roman"/>
          <w:b w:val="false"/>
          <w:i w:val="false"/>
          <w:color w:val="000000"/>
          <w:sz w:val="28"/>
        </w:rPr>
        <w:t>
      </w:t>
      </w:r>
      <w:r>
        <w:rPr>
          <w:rFonts w:ascii="Times New Roman"/>
          <w:b w:val="false"/>
          <w:i w:val="false"/>
          <w:color w:val="000000"/>
          <w:sz w:val="28"/>
        </w:rPr>
        <w:t xml:space="preserve">18)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(с 1 января 2017 года);</w:t>
      </w:r>
      <w:r>
        <w:br/>
      </w:r>
      <w:r>
        <w:rPr>
          <w:rFonts w:ascii="Times New Roman"/>
          <w:b w:val="false"/>
          <w:i w:val="false"/>
          <w:color w:val="000000"/>
          <w:sz w:val="28"/>
        </w:rPr>
        <w:t>
      </w:t>
      </w:r>
      <w:r>
        <w:rPr>
          <w:rFonts w:ascii="Times New Roman"/>
          <w:b w:val="false"/>
          <w:i w:val="false"/>
          <w:color w:val="000000"/>
          <w:sz w:val="28"/>
        </w:rPr>
        <w:t xml:space="preserve"> 19) наличие у граждан, находящихся на амбулаторном лечении, активной формы туберкулеза.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