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01cd" w14:textId="5ef0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28 октября 2016 года N 28. Зарегистрировано Департаментом юстиции Северо-Казахстанской области 25 ноября 2016 года N 3943. Утратило силу решением маслихата Тайыншинского района Северо-Казахстанской области от 04 апреля 2017 года № 70</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04.04.2017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января 2014 года № 158 (зарегистрировано в Реестре государственной регистрации нормативных правовых актов под № 2551 от 12 февраля 2014 года, опубликовано 21 февраля 2014 года в районной газете "Тайынша таңы", 21 февраля 2014 года в районной газете "Тайыншинские вести")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указанных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указанных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указанных в приложении 1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 xml:space="preserve">VIII сессии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Кахабаев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28 октября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28 октября 2016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Тайыншинского района Северо-Казахстанской области</w:t>
            </w:r>
          </w:p>
        </w:tc>
      </w:tr>
    </w:tbl>
    <w:bookmarkStart w:name="z21" w:id="0"/>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907"/>
        <w:gridCol w:w="103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w:t>
            </w:r>
            <w:r>
              <w:br/>
            </w:r>
            <w:r>
              <w:rPr>
                <w:rFonts w:ascii="Times New Roman"/>
                <w:b w:val="false"/>
                <w:i w:val="false"/>
                <w:color w:val="000000"/>
                <w:sz w:val="20"/>
              </w:rPr>
              <w:t>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 31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