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93c0" w14:textId="c769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района Шал акына Северо - Казахстанской области от 23 декабря 2015 года № 44/4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30 июня 2016 года № 4/4. Зарегистрировано Департаментом юстиции Северо-Казахстанской области 27 июля 2016 года № 3840. Утратило силу решением маслихата района Шал акына Северо-Казахстанской области от 27 марта 2017 года № 12/1</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27.03.2017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от 23 декабря 2015 года № 44/4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(зарегистрировано в Реестре государственной регистрации нормативных правовых актов под № 3567 от 19 января 2016 года, опубликовано 12 февраля 2016 года районной газете "Парыз", 12 февраля 2016 года в районной газете "Новатор")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"4)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"13)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подпункте 15)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дополнить пунктом 17-1 следующего содержания:</w:t>
      </w:r>
      <w:r>
        <w:br/>
      </w:r>
      <w:r>
        <w:rPr>
          <w:rFonts w:ascii="Times New Roman"/>
          <w:b w:val="false"/>
          <w:i w:val="false"/>
          <w:color w:val="000000"/>
          <w:sz w:val="28"/>
        </w:rPr>
        <w:t>
      </w:t>
      </w:r>
      <w:r>
        <w:rPr>
          <w:rFonts w:ascii="Times New Roman"/>
          <w:b w:val="false"/>
          <w:i w:val="false"/>
          <w:color w:val="000000"/>
          <w:sz w:val="28"/>
        </w:rPr>
        <w:t>"17-1. Социальная помощь по основанию, указанного в подпункте 20) приложения 3 к настоящим Правилам предоставляется по необходимости в размере стоимости проезда, без учета доходов.";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указанного в подпункте 21) приложения 3 к настоящим Правилам предоставляется в начале учебного года в размере 160 (ста шестидесяти) месячных расчетных показателей, гражданам с учетом среднедушевого дохода лица (семьи), не превышающим прожиточного минимума.</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полученных как в денежной, так и натуральной форме, за три месяца, предшествующих месяцу обращения за назначением обусловленной денежной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Министерстве юстиции Республики Казахстан 28 августа 2009 года № 5757).";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"4. Порядок оказания обусловленной денежной помощи на основе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"35.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По результатам собеседования оформляется лист собеседования и заполняется анкета о семейном и материальном положении заявителя согласно приложению 7 и 8 к настоящим Правилам.</w:t>
      </w:r>
      <w:r>
        <w:br/>
      </w:r>
      <w:r>
        <w:rPr>
          <w:rFonts w:ascii="Times New Roman"/>
          <w:b w:val="false"/>
          <w:i w:val="false"/>
          <w:color w:val="000000"/>
          <w:sz w:val="28"/>
        </w:rPr>
        <w:t>
      </w:t>
      </w:r>
      <w:r>
        <w:rPr>
          <w:rFonts w:ascii="Times New Roman"/>
          <w:b w:val="false"/>
          <w:i w:val="false"/>
          <w:color w:val="000000"/>
          <w:sz w:val="28"/>
        </w:rPr>
        <w:t>36.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приложениям 9-10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38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"5. Основания для прекращения и возврата предоставляемой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"46.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IV сессии</w:t>
            </w:r>
            <w:r>
              <w:br/>
            </w:r>
            <w:r>
              <w:rPr>
                <w:rFonts w:ascii="Times New Roman"/>
                <w:b w:val="false"/>
                <w:i/>
                <w:color w:val="000000"/>
                <w:sz w:val="20"/>
              </w:rPr>
              <w:t>маслихата 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Махметова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30 июня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Шал акына Северо-Казахстанской области от 30 июня 2016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tc>
      </w:tr>
    </w:tbl>
    <w:bookmarkStart w:name="z44" w:id="0"/>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 xml:space="preserve">19) наличие у граждан, находящихся на амбулаторном лечении, активной формы туберкулеза; </w:t>
      </w:r>
      <w:r>
        <w:br/>
      </w:r>
      <w:r>
        <w:rPr>
          <w:rFonts w:ascii="Times New Roman"/>
          <w:b w:val="false"/>
          <w:i w:val="false"/>
          <w:color w:val="000000"/>
          <w:sz w:val="28"/>
        </w:rPr>
        <w:t>
      </w:t>
      </w:r>
      <w:r>
        <w:rPr>
          <w:rFonts w:ascii="Times New Roman"/>
          <w:b w:val="false"/>
          <w:i w:val="false"/>
          <w:color w:val="000000"/>
          <w:sz w:val="28"/>
        </w:rPr>
        <w:t>20) нуждаемость участников и инвалидов Великой Отечественной войны и лиц, приравненным к ним, другие категории лиц, приравненным по льготам и гарантиям к участникам и инвалидам Великой Отечественной войны, а также лиц, пострадавшим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21) наличие в малообеспеченных семьях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