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6cc627" w14:textId="e6cc62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содержания животных на территории населенных пунктов Индерского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Атырауской областного маслихата от 28 октября 2016 года № 57-VI. Зарегистрировано Департаментом юстиции Атырауской области 05 декабря 2016 года № 3697. Утратило силу решением Атырауского областного маслихата от 15 марта 2021 года № 27-VІI (вводится в действие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Атырауского областного маслихата от 15.03.2021 № </w:t>
      </w:r>
      <w:r>
        <w:rPr>
          <w:rFonts w:ascii="Times New Roman"/>
          <w:b w:val="false"/>
          <w:i w:val="false"/>
          <w:color w:val="ff0000"/>
          <w:sz w:val="28"/>
        </w:rPr>
        <w:t>27-VIІ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5 июля 2014 года "Об административных правонарушениях",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10 июля 2002 года </w:t>
      </w:r>
      <w:r>
        <w:rPr>
          <w:rFonts w:ascii="Times New Roman"/>
          <w:b w:val="false"/>
          <w:i w:val="false"/>
          <w:color w:val="000000"/>
          <w:sz w:val="28"/>
        </w:rPr>
        <w:t>"О ветеринарии"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областной маслихат VI созыва на очередной VIІ сессии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Правила содержания животных на территории населенных пунктов Индерского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решения возложить на председателя постоянной комиссии Атырауского областного маслихата по вопросам соблюдения законности, депутатской этики и правовой защиты (А. Абдолов).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Байкенова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Лукпанов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решением Атырауского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28 октября 2016 года № 57-VІ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содержания животных на территории населенных пунктов Индерского района</w:t>
      </w:r>
    </w:p>
    <w:bookmarkEnd w:id="4"/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 Правила определяют порядок содержания животных на территории населенных пунктов Индерского района (далее – Правила).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Правила распространяются на всех физических и юридических лиц, независимо от форм собственности, содержащих животных.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Правила разработаны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5 июля 2014 года "Об административных правонарушениях",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>, от 10 июля 2002 года </w:t>
      </w:r>
      <w:r>
        <w:rPr>
          <w:rFonts w:ascii="Times New Roman"/>
          <w:b w:val="false"/>
          <w:i w:val="false"/>
          <w:color w:val="000000"/>
          <w:sz w:val="28"/>
        </w:rPr>
        <w:t>"О ветеринарии"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настоящих Правилах используются следующие понятия: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идентификация сельскохозяйственных животных-процедура учета животных, включающая присвоение индивидуального номера животным путем использования изделий (средств) для проведения идентификации, таврения с включением сведений о сельскохозяйственном животном в базу данных по идентификации сельскохозяйственных животных и выдачей ветеринарного паспорта;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ветеринарные мероприятия-комплекс противоэпизоотических, ветеринарно-санитарных процедур, направленных на предотвращение возникновения, распространения или ликвидацию болезней животных, включая их профилактику, лечение или диагностику; обезвреживание (обеззараживание), изъятие и уничтожение животных, зараженных особо опасными болезнями, представляющими опасность для здоровья животных и человека; повышение продуктивности животных; обеспечение безопасности продукции и сырья животного происхождения, кормов и кормовых добавок, включая идентификацию сельскохозяйственных животных, в целях защиты </w:t>
      </w:r>
      <w:r>
        <w:rPr>
          <w:rFonts w:ascii="Times New Roman"/>
          <w:b w:val="false"/>
          <w:i w:val="false"/>
          <w:color w:val="000000"/>
          <w:sz w:val="28"/>
        </w:rPr>
        <w:t>здоровья животных и человека от заразных болезней, в том числе общих для животных и человека;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ветеринарные документы-ветеринарный сертификат, выдаваемый государственными ветеринарно-санитарными инспекторами города республиканского значения, столицы, района, города областного значения на объекты государственного ветеринарно-санитарного контроля и надзора; ветеринарно-санитарное заключение, выдаваемое государственными ветеринарными врачами; ветеринарная справка, выдаваемая специалистом в области ветеринарии государственных ветеринарных организаций, созданных местными исполнительными органами, на животное, продукцию и сырье животного происхождения, об эпизоотической ситуации на территории соответствующей административно-территориальной единицы, а также аттестованным ветеринарным врачом подразделения производственного контроля по определению соответствия животных, продукции и сырья животного происхождения ветеринарным нормативам в порядке, утвержденном уполномоченным органом;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ветеринарный паспорт-документ установленной уполномоченным органом формы, в котором в целях учета животных указываются: владелец, вид, пол, масть, возраст животного;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ветеринарные (ветеринарно-санитарные) правила-нормативный правовой акт, устанавливающий ветеринарные (ветеринарно-санитарные, зоогигиенические) требования к объектам государственного ветеринарно-санитарного контроля и надзора, а также определяющий порядок проведения ветеринарных мероприятий на основе ветеринарных нормативов, являющийся обязательным для исполнения физическими и юридическими лицами;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ветеринарно-санитарная экспертиза определение соответствия продукции и сырья животного происхождения, кормов и кормовых добавок ветеринарным нормативам комплексом органолептических, биохимических, микробиологических, паразитологических, токсикологических и радиологических исследований;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дезинсекция - комплекс мероприятий по уничтожению насекомых и других членистоногих;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дезинфекция - комплекс мер по уничтожению возбудителей заразных и незаразных заболеваний;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дератизация - комплекс мероприятий по истреблению грызунов.</w:t>
      </w:r>
    </w:p>
    <w:bookmarkEnd w:id="18"/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регистрации животных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Регистрация животных осуществляется путем их идентификации в целях профилактики заразных и паразитарных заболеваний общих для человека и животных, поиска пропавших животных и регулирования их численности.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Все животные, в том числе сельскохозяйственные, домашние, животные и птицы-подлежат учету и регистрации в уполномоченном государственном органе в области ветеринарии.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регистрации владельцы представляют следующие данные: документ, удостоверяющий личность владельца, сведения о местожительстве, номер контактного телефона, вид, пол, масть, возраст животного.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Каждому зарегистрированному животному выдается ветеринарный паспорт c указанием идентификационного номера, действующий в течение всей </w:t>
      </w:r>
      <w:r>
        <w:rPr>
          <w:rFonts w:ascii="Times New Roman"/>
          <w:b w:val="false"/>
          <w:i w:val="false"/>
          <w:color w:val="000000"/>
          <w:sz w:val="28"/>
        </w:rPr>
        <w:t>продолжительности жизни животного. Присвоение идентификационного номера производится путем биркования, чипирования или таврения.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приобретении или перемене места жительства владельцев животные регистрируются в двухнедельный срок по новому месту регистрации владельцев.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гибели животного и при убое сельскохозяйственных животных ветеринарный паспорт и носитель идентификационного номера сдаются в орган или учреждение, ранее зарегистрировавшее данное животное.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Регистрирующий орган информируется о выбытии (продаже, пропаже, убое, гибели, передаче другому лицу) животного в двухнедельный срок для снятия с учета или перерегистрации.</w:t>
      </w:r>
    </w:p>
    <w:bookmarkEnd w:id="26"/>
    <w:bookmarkStart w:name="z3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содержания животных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Содержание, разведение, выпас сельскохозяйственных животных осуществляется в соответствии с требованиями санитарных зон и ветеринарных нормативов по содержанию животных в личных подсобных хозяйствах в пределах границ населенных пунктов и нагрузки выпаса сельскохозяйственных животных на землях сельскохозяйственного назначения.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На границах санитарных зон, определяемых с условиями действующих законодательств, не допускается содержание, разведение, выпас сельскохозяйственных животных.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Сельскохозяйственные животные содержатся в специально оборудованных в соответствии с действующими зоогигиеническими и ветеринарно-санитарными нормами (Согласно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20 марта 2015 года "Об утверждении Санитарных правил "Санитарно-эпидемиологические требования по установлению санитарно-защитной зоны производственных объектов" (зарегистрировано в реестре государственной регистрации нормативных правовых актов № 11124) и с учетом экологической безопасности помещениях, вдали от жилых помещений, школ, медицинских и дошкольных учреждений, парков, зоопарков, стадионов, учреждений общественного питания, торговли и пищевой промышленности, мест отдыха, детских оздоровительных организаций и санаторий, искусственных водоемов, артезианских колодцев, источников воды.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частных подворьях при соблюдении ветеринарно-санитарных и санитарно-эмидемиологических правил разрешается содержание сельскохозяйственных животных и птиц в специально оборудованных в соответствии с действующими зоогигиеническими и ветеринарно-санитарными нормами и с учетом экологической безопасности помещениях.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В период перелета диких птиц через воздушное пространство населенного пункта владельцам рекомендуется содержать птиц в закрытых </w:t>
      </w:r>
      <w:r>
        <w:rPr>
          <w:rFonts w:ascii="Times New Roman"/>
          <w:b w:val="false"/>
          <w:i w:val="false"/>
          <w:color w:val="000000"/>
          <w:sz w:val="28"/>
        </w:rPr>
        <w:t>помещениях, исключающих контакт с перелетными птицами, которые могут служить источником инфекционных болезней.</w:t>
      </w:r>
    </w:p>
    <w:bookmarkEnd w:id="32"/>
    <w:bookmarkStart w:name="z4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Помещения для содержания животных еженедельно убираются механическим способом и подвергаются дезинфекции: испражнения и помет животных, остатки кормов и другие отходы своевременно вывозятся в специально отведенные места.</w:t>
      </w:r>
    </w:p>
    <w:bookmarkEnd w:id="33"/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целях борьбы с насекомыми и грызунами помещения для животных и птиц ежемесячно обрабатываются инсектицидными и дератизаторными препаратами.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На улицах, площадях, скверах, в зонах отчуждения железных и автомобильных дорог, а также в других местах общего пользования не допускается выпас скота и нахождение животных без сопровождающих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животных производится на пастбищных участках, определенных местными исполнительными органами. За безопасность населения при выпасе и перегоне сельскохозяйственных животных ответственность несет владелец. Выгон животных на пастбища Индерского района проводится по схеме сопровождения согласно приложениям 1-12 к данному решению.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19 - в редакции решения Атырауского областного маслихата от 21.06.2019 № </w:t>
      </w:r>
      <w:r>
        <w:rPr>
          <w:rFonts w:ascii="Times New Roman"/>
          <w:b w:val="false"/>
          <w:i w:val="false"/>
          <w:color w:val="00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В квартирах жилищного фонда города (многоквартирные, общие долевые жилые дома) не рекомендуется содержание диких, сельскохозяйственных животных, птиц и пчел.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Содержание животных и птиц в зооуголках детских дошкольных учреждений, школ и других организациях и учреждениях допускается по согласованию с уполномоченным органом в области ветеринарно-санитарного контроля и надзора.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Лицам, не имеющим соответствующее биологическим особенностям животного помещения, специальных знаний и опыта в данной области, не рекомендуется содержание и разведение хищных и ядовитых животных.</w:t>
      </w:r>
    </w:p>
    <w:bookmarkEnd w:id="37"/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Не рекомендуется купать и мыть животное в общественных местах купания, прудах, фонтанах, водоемах и водозаборах.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Не рекомендуется выбрасывание трупов животных, осуществлять их захоронение на территории населенных пунктов. Трупы животных подлежат уничтожению в специально отведенных местах.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Изъятие и уничтожение животных, представляющих особую опасность для здоровья человека и животных, осуществляется в соответствии с законодательством Республики Казахстан. В случае, если животное признано клинически здоровым, оно возвращается владельцу.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Животные, находящиеся в санитарных зонах, на улицах, площадях, скверах, других общественных местах общего пользования без сопровождающих лиц, считаются безнадзорными животными. Содержание, пользование и возврат безнадзорных животных регламентируется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246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 кодекса Республики Казахстан.</w:t>
      </w:r>
    </w:p>
    <w:bookmarkEnd w:id="41"/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Контроль за соблюдением Правил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Контроль за соблюдением Правил содержания животных на территории населенных пунктов Индерского района осуществляются уполномоченными государственными органами.</w:t>
      </w:r>
    </w:p>
    <w:bookmarkEnd w:id="43"/>
    <w:bookmarkStart w:name="z5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44"/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За нарушение настоящих Правил владелец несет ответственность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5 июля 2014 года "Об административных правонарушениях".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Действие настоящих Правил распространяется на всех владельцев животных, физических и юридических лиц, независимо от их форм собственности и ведомственной подчиненности, имеющих в собственности или ином владении животных.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Атырауского областного маслихата от "21" июня 2019 года № 329-VI</w:t>
            </w:r>
          </w:p>
        </w:tc>
      </w:tr>
    </w:tbl>
    <w:bookmarkStart w:name="z6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поселка Индербор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1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Атырауского областного маслихата от "21" июня 2019 года № 329-VI</w:t>
            </w:r>
          </w:p>
        </w:tc>
      </w:tr>
    </w:tbl>
    <w:bookmarkStart w:name="z6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Есбол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2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Атырауского областного маслихата от "21" июня 2019 года № 329-VI</w:t>
            </w:r>
          </w:p>
        </w:tc>
      </w:tr>
    </w:tbl>
    <w:bookmarkStart w:name="z6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Коктогай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3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Атырауского областного маслихата от "21" июня 2019 года № 329-VI</w:t>
            </w:r>
          </w:p>
        </w:tc>
      </w:tr>
    </w:tbl>
    <w:bookmarkStart w:name="z6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Орлик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4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Атырауского областного маслихата от "21" июня 2019 года № 329-VI</w:t>
            </w:r>
          </w:p>
        </w:tc>
      </w:tr>
    </w:tbl>
    <w:bookmarkStart w:name="z7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Бодене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5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Атырауского областного маслихата от "21" июня 2019 года № 329-VI</w:t>
            </w:r>
          </w:p>
        </w:tc>
      </w:tr>
    </w:tbl>
    <w:bookmarkStart w:name="z7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Елтай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6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Атырауского областного маслихата от "21" июня 2019 года № 329-VI</w:t>
            </w:r>
          </w:p>
        </w:tc>
      </w:tr>
    </w:tbl>
    <w:bookmarkStart w:name="z7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Жарсуат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7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Атырауского областного маслихата от "21" июня 2019 года № 329-VI</w:t>
            </w:r>
          </w:p>
        </w:tc>
      </w:tr>
    </w:tbl>
    <w:bookmarkStart w:name="z7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Аккала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8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Атырауского областного маслихата от "21" июня 2019 года № 329-VI</w:t>
            </w:r>
          </w:p>
        </w:tc>
      </w:tr>
    </w:tbl>
    <w:bookmarkStart w:name="z7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Ынтымак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9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Атырауского областного маслихата от "21" июня 2019 года № 329-VI</w:t>
            </w:r>
          </w:p>
        </w:tc>
      </w:tr>
    </w:tbl>
    <w:bookmarkStart w:name="z8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Курылыс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10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 Атырауского областного маслихата от "21" июня 2019 года № 329-VI</w:t>
            </w:r>
          </w:p>
        </w:tc>
      </w:tr>
    </w:tbl>
    <w:bookmarkStart w:name="z8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Кызылжар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11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 Атырауского областного маслихата от "21" июня 2019 года № 329-VI</w:t>
            </w:r>
          </w:p>
        </w:tc>
      </w:tr>
    </w:tbl>
    <w:bookmarkStart w:name="z8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Актан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дополнена приложением 12 в соответствии с решением Атырауского областного маслихата от 21.06.2019 № </w:t>
      </w:r>
      <w:r>
        <w:rPr>
          <w:rFonts w:ascii="Times New Roman"/>
          <w:b w:val="false"/>
          <w:i w:val="false"/>
          <w:color w:val="ff0000"/>
          <w:sz w:val="28"/>
        </w:rPr>
        <w:t>329-VI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