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ca31" w14:textId="cbc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30 июня 2016 года № 264. Зарегистрировано Департаментом юстиции Атырауской области 27 июля 2016 года № 3571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Бектемирова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Курмангазинского района от "30" июня 2016 года № 264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и использования безнадзорных животных поступивших в коммунальную собственность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правила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поступления и использования безнадзорных животных,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Если в течении шести месяцев с момента заявления о задержании рабочего и крупного рогатого скота и двух месяцев –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 отказе этого лица от приобретения в собственность содержавшихся у него животных, они поступают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оценке и (или) приема-передачи Имущества (далее –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Расходы по учету, оценке, хранению и использованию животных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Животные, поступившие в районную коммунальную собственность, закрепляются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"отдел экономики и финансов Курмангазинского района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определении лиц, у которых будут временно содержаться животные, учитываются необходимые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– комиссия) в течении срока временного содержания,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недостижении согласия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Средства от продажи животных, в порядке определяемом законодательством полностью засчитываются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