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f4f5" w14:textId="f57f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Шымкентского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3 мая 2016 года № 2/22-6с. Зарегистрировано Департаментом юстиции Южно-Казахстанской области 14 июня 2016 года № 3759. Утратило силу решением Шымкентского городского маслихата Южно-Казахстанской области от 31 марта 2017 года № 15/138-6с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Шымкентского городского маслихата Южно-Казахстанской области от 31.03.2017 № 15/138-6с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12705,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Шымкентского городского маслихата согласно приложениям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2/22-6с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аппарата Шымкентского</w:t>
      </w:r>
      <w:r>
        <w:br/>
      </w:r>
      <w:r>
        <w:rPr>
          <w:rFonts w:ascii="Times New Roman"/>
          <w:b/>
          <w:i w:val="false"/>
          <w:color w:val="000000"/>
        </w:rPr>
        <w:t>городского маслихата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Шымкентского городского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Шымкентского городского маслихата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 (сотрудник кадровой службы).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кадровой службы (службы управления персоналом).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сотруднику кадровой службы (в службу управления персоналом).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Сотрудник кадровой службы (служба управления персоналом)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кадровой службы (служба управления персоналом)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 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сотрудника кадровой службы (службы управления персоналом),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работником кадровой службы (службой управления персоналом) и уполномоченным по этике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(службы управления персоналом)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(службы управления персоналом)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сотрудником кадровой службы (службой управления персоналом)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сотруднику кадровой службы (в службу управления персоналом)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Сотрудник кадровой службы (служба управления персоналом)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сотрудником кадровой службы (службой управления персоналом)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Сотрудник кадровой службы (служба управления персоналом)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кадровой службы (служба управления персоналом)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сотрудником кадровой службы (службой управления персоналом)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Сотрудник кадровой службы (служба управления персоналом)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 послужной список. В этом случае работником кадровой службы (службы управления персоналом)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сотрудника кадровой службы (в службе управления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Шымкентского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цели (целей) государственного органа, а в случае ее (их) отсутствия, исходя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Шымкентского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794"/>
        <w:gridCol w:w="1530"/>
        <w:gridCol w:w="1532"/>
        <w:gridCol w:w="2247"/>
        <w:gridCol w:w="1916"/>
        <w:gridCol w:w="1917"/>
        <w:gridCol w:w="595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Шымкентского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2337"/>
        <w:gridCol w:w="1870"/>
        <w:gridCol w:w="2334"/>
        <w:gridCol w:w="1641"/>
        <w:gridCol w:w="1641"/>
        <w:gridCol w:w="1055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Шымкентского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Шымкентского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 : квартальная / годовая и оцениваемый период (квартал и (или) год))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4601"/>
        <w:gridCol w:w="1846"/>
        <w:gridCol w:w="2654"/>
        <w:gridCol w:w="873"/>
      </w:tblGrid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