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f352" w14:textId="60bf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Сайрамского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Сайрамского района Южно-Казахстанской области от 25 февраля 2016 года № 123. Зарегистрировано Департаментом юстиции Южно-Казахстанской области 1 апреля 2016 года № 3686. Утратило силу постановлением акимата Сайрамского района Южно-Казахстанской области от 9 июня 2016 года № 254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Сайрамского района Южно-Казахстанской области от 09.06.2016 № 254.</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Сайрамского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Сайрамского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Сайрамского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официальное опубликование в периодических печатных изданиях, распространяемых на территории Сайрамского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Сайрамского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Сайрамского района Тургынбекова Б.</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У.Кайназаров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Сайрамского района</w:t>
            </w:r>
            <w:r>
              <w:br/>
            </w:r>
            <w:r>
              <w:rPr>
                <w:rFonts w:ascii="Times New Roman"/>
                <w:b w:val="false"/>
                <w:i w:val="false"/>
                <w:color w:val="000000"/>
                <w:sz w:val="20"/>
              </w:rPr>
              <w:t>от 25 февраля 2016 года № 123</w:t>
            </w:r>
          </w:p>
        </w:tc>
      </w:tr>
    </w:tbl>
    <w:bookmarkStart w:name="z7" w:id="0"/>
    <w:p>
      <w:pPr>
        <w:spacing w:after="0"/>
        <w:ind w:left="0"/>
        <w:jc w:val="left"/>
      </w:pPr>
      <w:r>
        <w:rPr>
          <w:rFonts w:ascii="Times New Roman"/>
          <w:b/>
          <w:i w:val="false"/>
          <w:color w:val="000000"/>
        </w:rPr>
        <w:t xml:space="preserve"> Регламент акимата Сайрамского района</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Сайрамского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(далее-аппарат).</w:t>
      </w:r>
      <w:r>
        <w:br/>
      </w:r>
      <w:r>
        <w:rPr>
          <w:rFonts w:ascii="Times New Roman"/>
          <w:b w:val="false"/>
          <w:i w:val="false"/>
          <w:color w:val="000000"/>
          <w:sz w:val="28"/>
        </w:rPr>
        <w:t>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9. Утвержденный перечень рассылается членам акимата, а также, в случае необходимости, руководителям исполнительных органов, акимам сельских округов и другим должностным лицам.</w:t>
      </w:r>
      <w:r>
        <w:br/>
      </w:r>
      <w:r>
        <w:rPr>
          <w:rFonts w:ascii="Times New Roman"/>
          <w:b w:val="false"/>
          <w:i w:val="false"/>
          <w:color w:val="000000"/>
          <w:sz w:val="28"/>
        </w:rPr>
        <w:t>
      </w:t>
      </w:r>
      <w:r>
        <w:rPr>
          <w:rFonts w:ascii="Times New Roman"/>
          <w:b w:val="false"/>
          <w:i w:val="false"/>
          <w:color w:val="000000"/>
          <w:sz w:val="28"/>
        </w:rPr>
        <w:t>10.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12.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13.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14.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15.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16.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17.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18.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 (в общем отделе аппарата акима района).</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20.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и/или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или руководителем аппарата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21.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22.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4) с соответствующим отраслевым отделом аппарата акима.</w:t>
      </w:r>
      <w:r>
        <w:br/>
      </w:r>
      <w:r>
        <w:rPr>
          <w:rFonts w:ascii="Times New Roman"/>
          <w:b w:val="false"/>
          <w:i w:val="false"/>
          <w:color w:val="000000"/>
          <w:sz w:val="28"/>
        </w:rPr>
        <w:t>
      </w:t>
      </w:r>
      <w:r>
        <w:rPr>
          <w:rFonts w:ascii="Times New Roman"/>
          <w:b w:val="false"/>
          <w:i w:val="false"/>
          <w:color w:val="000000"/>
          <w:sz w:val="28"/>
        </w:rPr>
        <w:t>23.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24.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25.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26.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w:t>
      </w:r>
      <w:r>
        <w:br/>
      </w:r>
      <w:r>
        <w:rPr>
          <w:rFonts w:ascii="Times New Roman"/>
          <w:b w:val="false"/>
          <w:i w:val="false"/>
          <w:color w:val="000000"/>
          <w:sz w:val="28"/>
        </w:rPr>
        <w:t>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27.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28.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29.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30.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31.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w:t>
      </w:r>
      <w:r>
        <w:br/>
      </w:r>
      <w:r>
        <w:rPr>
          <w:rFonts w:ascii="Times New Roman"/>
          <w:b w:val="false"/>
          <w:i w:val="false"/>
          <w:color w:val="000000"/>
          <w:sz w:val="28"/>
        </w:rPr>
        <w:t>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32.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33.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хранятся в общем отделе аппарата акима.</w:t>
      </w:r>
      <w:r>
        <w:br/>
      </w:r>
      <w:r>
        <w:rPr>
          <w:rFonts w:ascii="Times New Roman"/>
          <w:b w:val="false"/>
          <w:i w:val="false"/>
          <w:color w:val="000000"/>
          <w:sz w:val="28"/>
        </w:rPr>
        <w:t>
      Ответственность за своевременный выпуск и рассылку документов адресатам несет общий отдел аппарата акима.</w:t>
      </w:r>
      <w:r>
        <w:br/>
      </w:r>
      <w:r>
        <w:rPr>
          <w:rFonts w:ascii="Times New Roman"/>
          <w:b w:val="false"/>
          <w:i w:val="false"/>
          <w:color w:val="000000"/>
          <w:sz w:val="28"/>
        </w:rPr>
        <w:t>
      </w:t>
      </w:r>
      <w:r>
        <w:rPr>
          <w:rFonts w:ascii="Times New Roman"/>
          <w:b w:val="false"/>
          <w:i w:val="false"/>
          <w:color w:val="000000"/>
          <w:sz w:val="28"/>
        </w:rPr>
        <w:t>34.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35.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общим отделом аппарата акима.</w:t>
      </w:r>
      <w:r>
        <w:br/>
      </w:r>
      <w:r>
        <w:rPr>
          <w:rFonts w:ascii="Times New Roman"/>
          <w:b w:val="false"/>
          <w:i w:val="false"/>
          <w:color w:val="000000"/>
          <w:sz w:val="28"/>
        </w:rPr>
        <w:t>
      </w:t>
      </w:r>
      <w:r>
        <w:rPr>
          <w:rFonts w:ascii="Times New Roman"/>
          <w:b w:val="false"/>
          <w:i w:val="false"/>
          <w:color w:val="000000"/>
          <w:sz w:val="28"/>
        </w:rPr>
        <w:t>36. Нормативные правовые постановления акимата и нормативные правовые решения акима за исключением актов, содержащих государственные секреты, подлежат государственной регистрации в территориальных органах Министерства юстиции Республики Казахстан и официальному опубликованию на интернет-ресурсе акимата Сайрамского района, а также в периодических печатных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37. Направление актов для публикации осуществляется юридическим отделом аппарата акима.</w:t>
      </w:r>
      <w:r>
        <w:br/>
      </w:r>
      <w:r>
        <w:rPr>
          <w:rFonts w:ascii="Times New Roman"/>
          <w:b w:val="false"/>
          <w:i w:val="false"/>
          <w:color w:val="000000"/>
          <w:sz w:val="28"/>
        </w:rPr>
        <w:t>
      </w:t>
      </w:r>
      <w:r>
        <w:rPr>
          <w:rFonts w:ascii="Times New Roman"/>
          <w:b w:val="false"/>
          <w:i w:val="false"/>
          <w:color w:val="000000"/>
          <w:sz w:val="28"/>
        </w:rPr>
        <w:t>38.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общим отделом аппарата акима в порядке, установленном законодательством.</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 Проведение правового мониторинга нормативных правовых актов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Правовой мониторинг проводится аппаратом, исполнительными органами, местными исполнительными органами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40.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41.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42.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43.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44.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юридической службой аппарата.</w:t>
      </w:r>
      <w:r>
        <w:br/>
      </w:r>
      <w:r>
        <w:rPr>
          <w:rFonts w:ascii="Times New Roman"/>
          <w:b w:val="false"/>
          <w:i w:val="false"/>
          <w:color w:val="000000"/>
          <w:sz w:val="28"/>
        </w:rPr>
        <w:t>
      </w:t>
      </w:r>
      <w:r>
        <w:rPr>
          <w:rFonts w:ascii="Times New Roman"/>
          <w:b w:val="false"/>
          <w:i w:val="false"/>
          <w:color w:val="000000"/>
          <w:sz w:val="28"/>
        </w:rPr>
        <w:t>45. Распоряжением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соответствующими отделами аппарата.</w:t>
      </w:r>
      <w:r>
        <w:br/>
      </w:r>
      <w:r>
        <w:rPr>
          <w:rFonts w:ascii="Times New Roman"/>
          <w:b w:val="false"/>
          <w:i w:val="false"/>
          <w:color w:val="000000"/>
          <w:sz w:val="28"/>
        </w:rPr>
        <w:t>
      </w:t>
      </w:r>
      <w:r>
        <w:rPr>
          <w:rFonts w:ascii="Times New Roman"/>
          <w:b w:val="false"/>
          <w:i w:val="false"/>
          <w:color w:val="000000"/>
          <w:sz w:val="28"/>
        </w:rPr>
        <w:t xml:space="preserve">46.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47. До первого числа последнего месяца полугодия (до 1 июня и 1 декабря) исполнительные органы представляют в юридическую службу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48. Юридическая служба аппарата анализирует полученную информацию и предложения и совместно с исполнительными органами принимает меры по внесению предложений в Правительство Республики Казахстан и уполномоченные органы в порядке,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49. Для обеспечения полноты проведения правового мониторинга нормативных правовых актов, юридическая служба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w:t>
      </w:r>
      <w:r>
        <w:rPr>
          <w:rFonts w:ascii="Times New Roman"/>
          <w:b w:val="false"/>
          <w:i w:val="false"/>
          <w:color w:val="000000"/>
          <w:sz w:val="28"/>
        </w:rPr>
        <w:t>50. По итогам проведенной работы юридическая служба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bookmarkStart w:name="z63" w:id="6"/>
    <w:p>
      <w:pPr>
        <w:spacing w:after="0"/>
        <w:ind w:left="0"/>
        <w:jc w:val="left"/>
      </w:pPr>
      <w:r>
        <w:rPr>
          <w:rFonts w:ascii="Times New Roman"/>
          <w:b/>
          <w:i w:val="false"/>
          <w:color w:val="000000"/>
        </w:rPr>
        <w:t xml:space="preserve"> 6. Порядок организации исполнения актов и поручений Президента, Правительства, Премьер-Министра Республики Казахстан, акиматов и акимов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51.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52.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53.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54.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55.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56.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57.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rPr>
          <w:rFonts w:ascii="Times New Roman"/>
          <w:b/>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