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ca511" w14:textId="f1ca5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18 января 2016 года № 13. Зарегистрировано Департаментом юстиции Восточно-Казахстанской области 05 февраля 2016 года № 4395. Утратило силу - постановлением акимата Кокпектинского района Восточно-Казахстанской области от 22 апреля 2016 года № 109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Кокпектинского района Восточно-Казахстанской области от 22.04.2016 № 109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подпункта 5),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пунктов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 "О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в целях расширения системы государственных гарантий и для поддержки различных групп населения, испытывающих затруднение в трудоустройстве, акимат Кокпектинского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общественные работы в 2016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 в 2016 году, виды, объемы, источники финансирования и конкретные условия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Размер оплаты труда участников общественных работ из средств местного бюджета утвердить в размере 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Кокпектинского района Восточно-Казахстанской области от 20 января 2015 года №5 "Об организации и финансировании общественных работ в 2015 году" (зарегистрировано в Реестре государственной регистрации нормативно-правовых актов за № 3677 11 февраля 2015 года, опубликовано в газетах "Жұлдыз" - "Новая жизнь" за № 16-17 от 1 марта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Контроль за исполнением настоящего постановления возложить на заместителя акима Кокпектинского района Смаиловой К. 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Р.Сагандыков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"18" 01 2016 года № 13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оплачиваемые общественные работы в 2016 году, виды, объемы, источники финансирования и конкретные условия оплачиваемых общественных работ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2"/>
        <w:gridCol w:w="4892"/>
        <w:gridCol w:w="1508"/>
        <w:gridCol w:w="1727"/>
        <w:gridCol w:w="1210"/>
        <w:gridCol w:w="1060"/>
        <w:gridCol w:w="621"/>
      </w:tblGrid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выполняемых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(утверждено)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Кокпектинского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Кокпектинского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Бастаушинского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Беленского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Бигашского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Кулынжонского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Кокжайыкского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имени К.Аухадиева"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Мариногорского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Миролюбовского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Сарыбелского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Палатцынского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Самарского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Тассайского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Теректинского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Улкенбокенского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Ульгулималшинского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Шугылбайского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предприятие на праве хозяйственного ведения "Кокпекты" акимата Кокпектинского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гектара 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предприятие на праве хозяйственного ведения "Самар" акимата Кокпектинского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гектара 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архитектуры, строительства, ЖКХ,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гектара 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районный отдел филиала Республиканского Государственного Предприятия "Центр обслуживания населения" по Восточно-Казахстанской области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 гектара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Кокпектинского района"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гектара 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Кокпектинского района"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Продолжительность рабочей недели составляет 5 дней с двумя выходными, восьмичасовой рабочий день, обеденный перерыв 1 час, исходя из условий работ применяются гибкие формы организации рабочего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Оплата труда осуществляется за фактически отработанное время, в зависимости от количества, качества и сложности выполняемой работы, отраженное в табеле учета рабочего времени, путем перечисления на лицевые счета безработных. </w:t>
      </w:r>
      <w:r>
        <w:rPr>
          <w:rFonts w:ascii="Times New Roman"/>
          <w:b w:val="false"/>
          <w:i w:val="false"/>
          <w:color w:val="000000"/>
          <w:sz w:val="28"/>
        </w:rPr>
        <w:t>Инструктаж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труда и технике безопасности, обеспечение </w:t>
      </w:r>
      <w:r>
        <w:rPr>
          <w:rFonts w:ascii="Times New Roman"/>
          <w:b w:val="false"/>
          <w:i w:val="false"/>
          <w:color w:val="000000"/>
          <w:sz w:val="28"/>
        </w:rPr>
        <w:t>специальной одеждой</w:t>
      </w:r>
      <w:r>
        <w:rPr>
          <w:rFonts w:ascii="Times New Roman"/>
          <w:b w:val="false"/>
          <w:i w:val="false"/>
          <w:color w:val="000000"/>
          <w:sz w:val="28"/>
        </w:rPr>
        <w:t xml:space="preserve">, инструментом и оборудованием, социальные </w:t>
      </w:r>
      <w:r>
        <w:rPr>
          <w:rFonts w:ascii="Times New Roman"/>
          <w:b w:val="false"/>
          <w:i w:val="false"/>
          <w:color w:val="000000"/>
          <w:sz w:val="28"/>
        </w:rPr>
        <w:t>отчисления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выплата </w:t>
      </w:r>
      <w:r>
        <w:rPr>
          <w:rFonts w:ascii="Times New Roman"/>
          <w:b w:val="false"/>
          <w:i w:val="false"/>
          <w:color w:val="000000"/>
          <w:sz w:val="28"/>
        </w:rPr>
        <w:t>социального пособия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временной нетрудоспособности, </w:t>
      </w:r>
      <w:r>
        <w:rPr>
          <w:rFonts w:ascii="Times New Roman"/>
          <w:b w:val="false"/>
          <w:i w:val="false"/>
          <w:color w:val="000000"/>
          <w:sz w:val="28"/>
        </w:rPr>
        <w:t>возмещение вреда</w:t>
      </w:r>
      <w:r>
        <w:rPr>
          <w:rFonts w:ascii="Times New Roman"/>
          <w:b w:val="false"/>
          <w:i w:val="false"/>
          <w:color w:val="000000"/>
          <w:sz w:val="28"/>
        </w:rPr>
        <w:t>, причиненного увечьем или иным повреждением здоровья, производится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Условия общественных работ для отдельных категорий работников 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 xml:space="preserve">женщинам, имеющим несовершеннолетних детей, многодетным матерям, инвалидам, лицам, не достигшим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