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e5d9" w14:textId="8f2e5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Чингирлауского районного маслихата от 26 декабря 2013 года № 18-5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Чингирлауского районного маслихата Западно-Казахстанской области от 20 мая 2016 года № 3-6. Зарегистрировано Департаментом юстиции Западно-Казахстанской области 31 мая 2016 года № 4439. Утратило силу решением Чингирлауского районного маслихата Западно-Казахстанской области от 11 февраля 2020 года № 50-2</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Чингирлауского районного маслихата Западно-Казахстанской области от 11.02.2020 </w:t>
      </w:r>
      <w:r>
        <w:rPr>
          <w:rFonts w:ascii="Times New Roman"/>
          <w:b w:val="false"/>
          <w:i w:val="false"/>
          <w:color w:val="000000"/>
          <w:sz w:val="28"/>
        </w:rPr>
        <w:t>№ 50-2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и постановлениями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от 4 марта 2016 года </w:t>
      </w:r>
      <w:r>
        <w:rPr>
          <w:rFonts w:ascii="Times New Roman"/>
          <w:b w:val="false"/>
          <w:i w:val="false"/>
          <w:color w:val="000000"/>
          <w:sz w:val="28"/>
        </w:rPr>
        <w:t>№133</w:t>
      </w:r>
      <w:r>
        <w:rPr>
          <w:rFonts w:ascii="Times New Roman"/>
          <w:b w:val="false"/>
          <w:i w:val="false"/>
          <w:color w:val="000000"/>
          <w:sz w:val="28"/>
        </w:rPr>
        <w:t xml:space="preserve"> "Об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 Чингирлауский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Чингирлауского районного маслихата от 26 декабря 2013 года №18-5 "Об утверждении Правил оказания социальной помощи, установления размеров и определения перечня отдельных категорий нуждающихся граждан Чингирлауского района" (зарегистрированное в Реестре государственной регистрации нормативных правовых актов №3409, опубликованное 6 февраля 2014 года в газете "Серпін") следующие изменения и дополнения:</w:t>
      </w:r>
      <w:r>
        <w:br/>
      </w:r>
      <w:r>
        <w:rPr>
          <w:rFonts w:ascii="Times New Roman"/>
          <w:b w:val="false"/>
          <w:i w:val="false"/>
          <w:color w:val="000000"/>
          <w:sz w:val="28"/>
        </w:rPr>
        <w:t xml:space="preserve">
      </w:t>
      </w:r>
      <w:r>
        <w:rPr>
          <w:rFonts w:ascii="Times New Roman"/>
          <w:b w:val="false"/>
          <w:i w:val="false"/>
          <w:color w:val="000000"/>
          <w:sz w:val="28"/>
        </w:rPr>
        <w:t>преамбулу указанного решения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постановлениями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от 4 марта 2016 года </w:t>
      </w:r>
      <w:r>
        <w:rPr>
          <w:rFonts w:ascii="Times New Roman"/>
          <w:b w:val="false"/>
          <w:i w:val="false"/>
          <w:color w:val="000000"/>
          <w:sz w:val="28"/>
        </w:rPr>
        <w:t>№133</w:t>
      </w:r>
      <w:r>
        <w:rPr>
          <w:rFonts w:ascii="Times New Roman"/>
          <w:b w:val="false"/>
          <w:i w:val="false"/>
          <w:color w:val="000000"/>
          <w:sz w:val="28"/>
        </w:rPr>
        <w:t xml:space="preserve"> "Об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 Чингирлауский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Чингирлауского района,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Чингирлауского района (далее – Правила) разработаны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и постановлениями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от 4 марта 2016 года </w:t>
      </w:r>
      <w:r>
        <w:rPr>
          <w:rFonts w:ascii="Times New Roman"/>
          <w:b w:val="false"/>
          <w:i w:val="false"/>
          <w:color w:val="000000"/>
          <w:sz w:val="28"/>
        </w:rPr>
        <w:t>№133</w:t>
      </w:r>
      <w:r>
        <w:rPr>
          <w:rFonts w:ascii="Times New Roman"/>
          <w:b w:val="false"/>
          <w:i w:val="false"/>
          <w:color w:val="000000"/>
          <w:sz w:val="28"/>
        </w:rPr>
        <w:t xml:space="preserve"> "Об утверждении Правил использования целевых текущих трансфертов из республиканского бюджета на 2016 год областными бюджетами, бюджетами городов Астаны и Алматы на внедрение обусловленной денежной помощи по проекту "Өрлеу"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подпункт 8) исключить;</w:t>
      </w:r>
      <w:r>
        <w:br/>
      </w:r>
      <w:r>
        <w:rPr>
          <w:rFonts w:ascii="Times New Roman"/>
          <w:b w:val="false"/>
          <w:i w:val="false"/>
          <w:color w:val="000000"/>
          <w:sz w:val="28"/>
        </w:rPr>
        <w:t xml:space="preserve">
      </w:t>
      </w:r>
      <w:r>
        <w:rPr>
          <w:rFonts w:ascii="Times New Roman"/>
          <w:b w:val="false"/>
          <w:i w:val="false"/>
          <w:color w:val="000000"/>
          <w:sz w:val="28"/>
        </w:rPr>
        <w:t>дополнить подпунктами 11), 12), 13), 14), 15)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"11)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xml:space="preserve">
      </w:t>
      </w:r>
      <w:r>
        <w:rPr>
          <w:rFonts w:ascii="Times New Roman"/>
          <w:b w:val="false"/>
          <w:i w:val="false"/>
          <w:color w:val="000000"/>
          <w:sz w:val="28"/>
        </w:rPr>
        <w:t>12)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xml:space="preserve">
      </w:t>
      </w:r>
      <w:r>
        <w:rPr>
          <w:rFonts w:ascii="Times New Roman"/>
          <w:b w:val="false"/>
          <w:i w:val="false"/>
          <w:color w:val="000000"/>
          <w:sz w:val="28"/>
        </w:rPr>
        <w:t xml:space="preserve">13) проект "Өрлеу" – комплекс мероприятий по предоставлению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 </w:t>
      </w:r>
      <w:r>
        <w:br/>
      </w:r>
      <w:r>
        <w:rPr>
          <w:rFonts w:ascii="Times New Roman"/>
          <w:b w:val="false"/>
          <w:i w:val="false"/>
          <w:color w:val="000000"/>
          <w:sz w:val="28"/>
        </w:rPr>
        <w:t xml:space="preserve">
      </w:t>
      </w:r>
      <w:r>
        <w:rPr>
          <w:rFonts w:ascii="Times New Roman"/>
          <w:b w:val="false"/>
          <w:i w:val="false"/>
          <w:color w:val="000000"/>
          <w:sz w:val="28"/>
        </w:rPr>
        <w:t>14) заявитель (претендент) – лицо, обращающееся от себя и от имени семьи для участия в проекте "Өрлеу";</w:t>
      </w:r>
      <w:r>
        <w:br/>
      </w:r>
      <w:r>
        <w:rPr>
          <w:rFonts w:ascii="Times New Roman"/>
          <w:b w:val="false"/>
          <w:i w:val="false"/>
          <w:color w:val="000000"/>
          <w:sz w:val="28"/>
        </w:rPr>
        <w:t xml:space="preserve">
      </w:t>
      </w:r>
      <w:r>
        <w:rPr>
          <w:rFonts w:ascii="Times New Roman"/>
          <w:b w:val="false"/>
          <w:i w:val="false"/>
          <w:color w:val="000000"/>
          <w:sz w:val="28"/>
        </w:rPr>
        <w:t>15)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2)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"2) получателям адресной социальной помощи в размере 50 процентов от одного месячного рассчетного показателя.";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9</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8)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"8) ОДП предоставляется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w:t>
      </w:r>
      <w:r>
        <w:br/>
      </w:r>
      <w:r>
        <w:rPr>
          <w:rFonts w:ascii="Times New Roman"/>
          <w:b w:val="false"/>
          <w:i w:val="false"/>
          <w:color w:val="000000"/>
          <w:sz w:val="28"/>
        </w:rPr>
        <w:t xml:space="preserve">
      </w:t>
      </w:r>
      <w:r>
        <w:rPr>
          <w:rFonts w:ascii="Times New Roman"/>
          <w:b w:val="false"/>
          <w:i w:val="false"/>
          <w:color w:val="000000"/>
          <w:sz w:val="28"/>
        </w:rPr>
        <w:t>На период действия социального контракта активизации семьи и выплаты ОДП приостанавливается выплата адресной социальной помощи.</w:t>
      </w:r>
      <w:r>
        <w:br/>
      </w:r>
      <w:r>
        <w:rPr>
          <w:rFonts w:ascii="Times New Roman"/>
          <w:b w:val="false"/>
          <w:i w:val="false"/>
          <w:color w:val="000000"/>
          <w:sz w:val="28"/>
        </w:rPr>
        <w:t xml:space="preserve">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xml:space="preserve">
      </w:t>
      </w:r>
      <w:r>
        <w:rPr>
          <w:rFonts w:ascii="Times New Roman"/>
          <w:b w:val="false"/>
          <w:i w:val="false"/>
          <w:color w:val="000000"/>
          <w:sz w:val="28"/>
        </w:rPr>
        <w:t xml:space="preserve">в </w:t>
      </w:r>
      <w:r>
        <w:rPr>
          <w:rFonts w:ascii="Times New Roman"/>
          <w:b w:val="false"/>
          <w:i w:val="false"/>
          <w:color w:val="000000"/>
          <w:sz w:val="28"/>
        </w:rPr>
        <w:t>пункте 10</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4)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 наличие среднедушевого дохода, не превышающего 60 процент от прожиточного минимума.";</w:t>
      </w:r>
      <w:r>
        <w:br/>
      </w:r>
      <w:r>
        <w:rPr>
          <w:rFonts w:ascii="Times New Roman"/>
          <w:b w:val="false"/>
          <w:i w:val="false"/>
          <w:color w:val="000000"/>
          <w:sz w:val="28"/>
        </w:rPr>
        <w:t xml:space="preserve">
      </w:t>
      </w:r>
      <w:r>
        <w:rPr>
          <w:rFonts w:ascii="Times New Roman"/>
          <w:b w:val="false"/>
          <w:i w:val="false"/>
          <w:color w:val="000000"/>
          <w:sz w:val="28"/>
        </w:rPr>
        <w:t>дополнить пунктами 14-1, 14-2, 14-3, 14-4, 14-5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"14-1.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аким сельского округа либо ассистент консультируют в день обращения претендента об условиях участия в проекте "Өрлеу". При согласии претендента на участие в проекте "Өрлеу" уполномоченный орган, аким сельского округа либо ассистент проводят собеседование.</w:t>
      </w:r>
      <w:r>
        <w:br/>
      </w:r>
      <w:r>
        <w:rPr>
          <w:rFonts w:ascii="Times New Roman"/>
          <w:b w:val="false"/>
          <w:i w:val="false"/>
          <w:color w:val="000000"/>
          <w:sz w:val="28"/>
        </w:rPr>
        <w:t xml:space="preserve">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xml:space="preserve">
      </w:t>
      </w:r>
      <w:r>
        <w:rPr>
          <w:rFonts w:ascii="Times New Roman"/>
          <w:b w:val="false"/>
          <w:i w:val="false"/>
          <w:color w:val="000000"/>
          <w:sz w:val="28"/>
        </w:rPr>
        <w:t>1) основания получения ОДП;</w:t>
      </w:r>
      <w:r>
        <w:br/>
      </w:r>
      <w:r>
        <w:rPr>
          <w:rFonts w:ascii="Times New Roman"/>
          <w:b w:val="false"/>
          <w:i w:val="false"/>
          <w:color w:val="000000"/>
          <w:sz w:val="28"/>
        </w:rPr>
        <w:t xml:space="preserve">
      </w:t>
      </w:r>
      <w:r>
        <w:rPr>
          <w:rFonts w:ascii="Times New Roman"/>
          <w:b w:val="false"/>
          <w:i w:val="false"/>
          <w:color w:val="000000"/>
          <w:sz w:val="28"/>
        </w:rPr>
        <w:t>2) нуждаемость в государственных мерах содействия занятости;</w:t>
      </w:r>
      <w:r>
        <w:br/>
      </w:r>
      <w:r>
        <w:rPr>
          <w:rFonts w:ascii="Times New Roman"/>
          <w:b w:val="false"/>
          <w:i w:val="false"/>
          <w:color w:val="000000"/>
          <w:sz w:val="28"/>
        </w:rPr>
        <w:t xml:space="preserve">
      </w:t>
      </w:r>
      <w:r>
        <w:rPr>
          <w:rFonts w:ascii="Times New Roman"/>
          <w:b w:val="false"/>
          <w:i w:val="false"/>
          <w:color w:val="000000"/>
          <w:sz w:val="28"/>
        </w:rPr>
        <w:t>3) меры социальной адаптации членам семьи с учетом их индивидуальных потребностей.</w:t>
      </w:r>
      <w:r>
        <w:br/>
      </w:r>
      <w:r>
        <w:rPr>
          <w:rFonts w:ascii="Times New Roman"/>
          <w:b w:val="false"/>
          <w:i w:val="false"/>
          <w:color w:val="000000"/>
          <w:sz w:val="28"/>
        </w:rPr>
        <w:t xml:space="preserve">
      </w:t>
      </w:r>
      <w:r>
        <w:rPr>
          <w:rFonts w:ascii="Times New Roman"/>
          <w:b w:val="false"/>
          <w:i w:val="false"/>
          <w:color w:val="000000"/>
          <w:sz w:val="28"/>
        </w:rPr>
        <w:t>По результатам собеседования оформляется лист собеседования по форме, утверждаемой центральным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14-2. Претендент, подписавший лист собеседования, заполняет заявление на участие в проекте "Өрлеу" и анкету о семейном и материальном положении согласно формам, утверждаемым центральным исполнительным органом, с приложением следующих документов:</w:t>
      </w:r>
      <w:r>
        <w:br/>
      </w:r>
      <w:r>
        <w:rPr>
          <w:rFonts w:ascii="Times New Roman"/>
          <w:b w:val="false"/>
          <w:i w:val="false"/>
          <w:color w:val="000000"/>
          <w:sz w:val="28"/>
        </w:rPr>
        <w:t xml:space="preserve">
      </w:t>
      </w:r>
      <w:r>
        <w:rPr>
          <w:rFonts w:ascii="Times New Roman"/>
          <w:b w:val="false"/>
          <w:i w:val="false"/>
          <w:color w:val="000000"/>
          <w:sz w:val="28"/>
        </w:rPr>
        <w:t>1)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2) сведений о составе семьи по форме, утверждаемой центральным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3) документа, подтверждающего установление опеки (попечительства) над членом семьи (при необходимости);</w:t>
      </w:r>
      <w:r>
        <w:br/>
      </w:r>
      <w:r>
        <w:rPr>
          <w:rFonts w:ascii="Times New Roman"/>
          <w:b w:val="false"/>
          <w:i w:val="false"/>
          <w:color w:val="000000"/>
          <w:sz w:val="28"/>
        </w:rPr>
        <w:t xml:space="preserve">
      </w:t>
      </w:r>
      <w:r>
        <w:rPr>
          <w:rFonts w:ascii="Times New Roman"/>
          <w:b w:val="false"/>
          <w:i w:val="false"/>
          <w:color w:val="000000"/>
          <w:sz w:val="28"/>
        </w:rPr>
        <w:t>4) документа, подтверждающего регистрацию по постоянному месту жительства, или адресной справки или справки акима сельского округа;</w:t>
      </w:r>
      <w:r>
        <w:br/>
      </w:r>
      <w:r>
        <w:rPr>
          <w:rFonts w:ascii="Times New Roman"/>
          <w:b w:val="false"/>
          <w:i w:val="false"/>
          <w:color w:val="000000"/>
          <w:sz w:val="28"/>
        </w:rPr>
        <w:t xml:space="preserve">
      </w:t>
      </w:r>
      <w:r>
        <w:rPr>
          <w:rFonts w:ascii="Times New Roman"/>
          <w:b w:val="false"/>
          <w:i w:val="false"/>
          <w:color w:val="000000"/>
          <w:sz w:val="28"/>
        </w:rPr>
        <w:t>5) сведений о наличии личного подсобного хозяйства по форме, утверждаемой центральным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14-3.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 претендующего на участие в проекте "Өрлеу".</w:t>
      </w:r>
      <w:r>
        <w:br/>
      </w:r>
      <w:r>
        <w:rPr>
          <w:rFonts w:ascii="Times New Roman"/>
          <w:b w:val="false"/>
          <w:i w:val="false"/>
          <w:color w:val="000000"/>
          <w:sz w:val="28"/>
        </w:rPr>
        <w:t xml:space="preserve">
      </w:t>
      </w:r>
      <w:r>
        <w:rPr>
          <w:rFonts w:ascii="Times New Roman"/>
          <w:b w:val="false"/>
          <w:i w:val="false"/>
          <w:color w:val="000000"/>
          <w:sz w:val="28"/>
        </w:rPr>
        <w:t xml:space="preserve">Участковые комиссии в течение трех рабочих дней со дня поступления документов проводят обследование материального положения заявителя, составляют акт обследования и заключение участковой комиссии по формам, утверждаемым центральным исполнительным органом, и передают заключение участковой комиссии в уполномоченный орган или акиму сельского округа. </w:t>
      </w:r>
      <w:r>
        <w:br/>
      </w:r>
      <w:r>
        <w:rPr>
          <w:rFonts w:ascii="Times New Roman"/>
          <w:b w:val="false"/>
          <w:i w:val="false"/>
          <w:color w:val="000000"/>
          <w:sz w:val="28"/>
        </w:rPr>
        <w:t xml:space="preserve">
      </w:t>
      </w:r>
      <w:r>
        <w:rPr>
          <w:rFonts w:ascii="Times New Roman"/>
          <w:b w:val="false"/>
          <w:i w:val="false"/>
          <w:color w:val="000000"/>
          <w:sz w:val="28"/>
        </w:rPr>
        <w:t>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w:t>
      </w:r>
      <w:r>
        <w:br/>
      </w:r>
      <w:r>
        <w:rPr>
          <w:rFonts w:ascii="Times New Roman"/>
          <w:b w:val="false"/>
          <w:i w:val="false"/>
          <w:color w:val="000000"/>
          <w:sz w:val="28"/>
        </w:rPr>
        <w:t xml:space="preserve">
      </w:t>
      </w:r>
      <w:r>
        <w:rPr>
          <w:rFonts w:ascii="Times New Roman"/>
          <w:b w:val="false"/>
          <w:i w:val="false"/>
          <w:color w:val="000000"/>
          <w:sz w:val="28"/>
        </w:rPr>
        <w:t>14-4.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xml:space="preserve">
      </w:t>
      </w:r>
      <w:r>
        <w:rPr>
          <w:rFonts w:ascii="Times New Roman"/>
          <w:b w:val="false"/>
          <w:i w:val="false"/>
          <w:color w:val="000000"/>
          <w:sz w:val="28"/>
        </w:rPr>
        <w:t xml:space="preserve">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14-5</w:t>
      </w:r>
      <w:r>
        <w:rPr>
          <w:rFonts w:ascii="Times New Roman"/>
          <w:b w:val="false"/>
          <w:i w:val="false"/>
          <w:color w:val="000000"/>
          <w:sz w:val="28"/>
        </w:rPr>
        <w:t xml:space="preserve"> настоящих Правил, и инвалидов первой и второй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r>
        <w:br/>
      </w:r>
      <w:r>
        <w:rPr>
          <w:rFonts w:ascii="Times New Roman"/>
          <w:b w:val="false"/>
          <w:i w:val="false"/>
          <w:color w:val="000000"/>
          <w:sz w:val="28"/>
        </w:rPr>
        <w:t xml:space="preserve">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3) после получения копий социальных контрактов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4) в день заключения социального контракта активизации семьи принимает решение о назначении (отказе в назначении ОДП), форма которого утверждается центральным исполнительным органом, и в случае принятия решения об отказе в назначении ОДП направляет заявителю уведомление об отказе (с указанием причины) по форме, утверждаемой центральным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14-5. Участие в государственных мерах содействия занятости является обязательным условием получения ОДП для трудоспособных членов семьи, за исключением следующих случаев:</w:t>
      </w:r>
      <w:r>
        <w:br/>
      </w:r>
      <w:r>
        <w:rPr>
          <w:rFonts w:ascii="Times New Roman"/>
          <w:b w:val="false"/>
          <w:i w:val="false"/>
          <w:color w:val="000000"/>
          <w:sz w:val="28"/>
        </w:rPr>
        <w:t xml:space="preserve">
      </w:t>
      </w:r>
      <w:r>
        <w:rPr>
          <w:rFonts w:ascii="Times New Roman"/>
          <w:b w:val="false"/>
          <w:i w:val="false"/>
          <w:color w:val="000000"/>
          <w:sz w:val="28"/>
        </w:rPr>
        <w:t>1) на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xml:space="preserve">
      </w:t>
      </w:r>
      <w:r>
        <w:rPr>
          <w:rFonts w:ascii="Times New Roman"/>
          <w:b w:val="false"/>
          <w:i w:val="false"/>
          <w:color w:val="000000"/>
          <w:sz w:val="28"/>
        </w:rPr>
        <w:t>2) осуществления ухода трудоспособным членом семьи за ребенком в возрасте до семи лет, ребенком-инвалидом, инвалидом первой или второй группы, престарелым, нуждающимся в постороннем уходе и помощи, при наличии в семье других трудоспособных членов, участвующих в государственных мерах содействия занятости.</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на основании решений о назначении ОДП осуществляет выплату обусловленной денежной помощи получателю.</w:t>
      </w:r>
      <w:r>
        <w:br/>
      </w:r>
      <w:r>
        <w:rPr>
          <w:rFonts w:ascii="Times New Roman"/>
          <w:b w:val="false"/>
          <w:i w:val="false"/>
          <w:color w:val="000000"/>
          <w:sz w:val="28"/>
        </w:rPr>
        <w:t xml:space="preserve">
      </w:t>
      </w:r>
      <w:r>
        <w:rPr>
          <w:rFonts w:ascii="Times New Roman"/>
          <w:b w:val="false"/>
          <w:i w:val="false"/>
          <w:color w:val="000000"/>
          <w:sz w:val="28"/>
        </w:rPr>
        <w:t>Уведомление о назначении ОДП выдается заявителю при его личном обращении в уполномоченный орган или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Выплата ОДП осуществляется уполномоченным органом путем перечисления на банковские счета получателей.</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принимает решение о прекращении выплаты ОДП, форма которого утверждается центральным исполнительным органом, в случаях:</w:t>
      </w:r>
      <w:r>
        <w:br/>
      </w:r>
      <w:r>
        <w:rPr>
          <w:rFonts w:ascii="Times New Roman"/>
          <w:b w:val="false"/>
          <w:i w:val="false"/>
          <w:color w:val="000000"/>
          <w:sz w:val="28"/>
        </w:rPr>
        <w:t xml:space="preserve">
      </w:t>
      </w:r>
      <w:r>
        <w:rPr>
          <w:rFonts w:ascii="Times New Roman"/>
          <w:b w:val="false"/>
          <w:i w:val="false"/>
          <w:color w:val="000000"/>
          <w:sz w:val="28"/>
        </w:rPr>
        <w:t>1) невыполнения участником проекта "Өрлеу" обязательств по социальному контракту активизации семьи и социальному контракту;</w:t>
      </w:r>
      <w:r>
        <w:br/>
      </w:r>
      <w:r>
        <w:rPr>
          <w:rFonts w:ascii="Times New Roman"/>
          <w:b w:val="false"/>
          <w:i w:val="false"/>
          <w:color w:val="000000"/>
          <w:sz w:val="28"/>
        </w:rPr>
        <w:t xml:space="preserve">
      </w:t>
      </w:r>
      <w:r>
        <w:rPr>
          <w:rFonts w:ascii="Times New Roman"/>
          <w:b w:val="false"/>
          <w:i w:val="false"/>
          <w:color w:val="000000"/>
          <w:sz w:val="28"/>
        </w:rPr>
        <w:t>2) расторжения социального контракта активизации семьи в связи с предоставлением недостоверных сведений;</w:t>
      </w:r>
      <w:r>
        <w:br/>
      </w:r>
      <w:r>
        <w:rPr>
          <w:rFonts w:ascii="Times New Roman"/>
          <w:b w:val="false"/>
          <w:i w:val="false"/>
          <w:color w:val="000000"/>
          <w:sz w:val="28"/>
        </w:rPr>
        <w:t xml:space="preserve">
      </w:t>
      </w:r>
      <w:r>
        <w:rPr>
          <w:rFonts w:ascii="Times New Roman"/>
          <w:b w:val="false"/>
          <w:i w:val="false"/>
          <w:color w:val="000000"/>
          <w:sz w:val="28"/>
        </w:rPr>
        <w:t>3) отсутствия движений по банковскому счету получателя более трех месяцев;</w:t>
      </w:r>
      <w:r>
        <w:br/>
      </w:r>
      <w:r>
        <w:rPr>
          <w:rFonts w:ascii="Times New Roman"/>
          <w:b w:val="false"/>
          <w:i w:val="false"/>
          <w:color w:val="000000"/>
          <w:sz w:val="28"/>
        </w:rPr>
        <w:t xml:space="preserve">
      </w:t>
      </w:r>
      <w:r>
        <w:rPr>
          <w:rFonts w:ascii="Times New Roman"/>
          <w:b w:val="false"/>
          <w:i w:val="false"/>
          <w:color w:val="000000"/>
          <w:sz w:val="28"/>
        </w:rPr>
        <w:t>4) выявления сведений о факте выезда получателей ОДП на постоянное местожительство за пределы Республики Казахстан, в том числе из Государственной базы данных "Физические лица";</w:t>
      </w:r>
      <w:r>
        <w:br/>
      </w:r>
      <w:r>
        <w:rPr>
          <w:rFonts w:ascii="Times New Roman"/>
          <w:b w:val="false"/>
          <w:i w:val="false"/>
          <w:color w:val="000000"/>
          <w:sz w:val="28"/>
        </w:rPr>
        <w:t xml:space="preserve">
      </w:t>
      </w:r>
      <w:r>
        <w:rPr>
          <w:rFonts w:ascii="Times New Roman"/>
          <w:b w:val="false"/>
          <w:i w:val="false"/>
          <w:color w:val="000000"/>
          <w:sz w:val="28"/>
        </w:rPr>
        <w:t>5) поступления сведений об умерших или объявленных умершими, в том числе из Государственной базы данных "Физические лица";</w:t>
      </w:r>
      <w:r>
        <w:br/>
      </w:r>
      <w:r>
        <w:rPr>
          <w:rFonts w:ascii="Times New Roman"/>
          <w:b w:val="false"/>
          <w:i w:val="false"/>
          <w:color w:val="000000"/>
          <w:sz w:val="28"/>
        </w:rPr>
        <w:t xml:space="preserve">
      </w:t>
      </w:r>
      <w:r>
        <w:rPr>
          <w:rFonts w:ascii="Times New Roman"/>
          <w:b w:val="false"/>
          <w:i w:val="false"/>
          <w:color w:val="000000"/>
          <w:sz w:val="28"/>
        </w:rPr>
        <w:t>6) истечения срока действия документа, удостоверяющего личность;</w:t>
      </w:r>
      <w:r>
        <w:br/>
      </w:r>
      <w:r>
        <w:rPr>
          <w:rFonts w:ascii="Times New Roman"/>
          <w:b w:val="false"/>
          <w:i w:val="false"/>
          <w:color w:val="000000"/>
          <w:sz w:val="28"/>
        </w:rPr>
        <w:t xml:space="preserve">
      </w:t>
      </w:r>
      <w:r>
        <w:rPr>
          <w:rFonts w:ascii="Times New Roman"/>
          <w:b w:val="false"/>
          <w:i w:val="false"/>
          <w:color w:val="000000"/>
          <w:sz w:val="28"/>
        </w:rPr>
        <w:t>7) выявления факта без вести пропавших лиц, находящихся в розыске, представляемых Генеральной прокуратурой Республики Казахстан, в том числе из Государственной базы данных "Физические лица";</w:t>
      </w:r>
      <w:r>
        <w:br/>
      </w:r>
      <w:r>
        <w:rPr>
          <w:rFonts w:ascii="Times New Roman"/>
          <w:b w:val="false"/>
          <w:i w:val="false"/>
          <w:color w:val="000000"/>
          <w:sz w:val="28"/>
        </w:rPr>
        <w:t xml:space="preserve">
      </w:t>
      </w:r>
      <w:r>
        <w:rPr>
          <w:rFonts w:ascii="Times New Roman"/>
          <w:b w:val="false"/>
          <w:i w:val="false"/>
          <w:color w:val="000000"/>
          <w:sz w:val="28"/>
        </w:rPr>
        <w:t>8) поступления сведений об освобожденных и отстраненных опекунах (попечителях).</w:t>
      </w:r>
      <w:r>
        <w:br/>
      </w:r>
      <w:r>
        <w:rPr>
          <w:rFonts w:ascii="Times New Roman"/>
          <w:b w:val="false"/>
          <w:i w:val="false"/>
          <w:color w:val="000000"/>
          <w:sz w:val="28"/>
        </w:rPr>
        <w:t xml:space="preserve">
      </w:t>
      </w:r>
      <w:r>
        <w:rPr>
          <w:rFonts w:ascii="Times New Roman"/>
          <w:b w:val="false"/>
          <w:i w:val="false"/>
          <w:color w:val="000000"/>
          <w:sz w:val="28"/>
        </w:rPr>
        <w:t>При этом в случае выявления предоставления недостоверных сведений, повлекших за собой незаконное назначение ОДП, выплата обусловленной денежной помощи лицу (семье) прекращается на период ее назначения. Уполномоченный орган принимает меры по возврату излишне выплаченных сумм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"24.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установленных в областях (городе республиканского значения, столице).</w:t>
      </w:r>
      <w:r>
        <w:br/>
      </w:r>
      <w:r>
        <w:rPr>
          <w:rFonts w:ascii="Times New Roman"/>
          <w:b w:val="false"/>
          <w:i w:val="false"/>
          <w:color w:val="000000"/>
          <w:sz w:val="28"/>
        </w:rPr>
        <w:t xml:space="preserve">
      </w:t>
      </w:r>
      <w:r>
        <w:rPr>
          <w:rFonts w:ascii="Times New Roman"/>
          <w:b w:val="false"/>
          <w:i w:val="false"/>
          <w:color w:val="000000"/>
          <w:sz w:val="28"/>
        </w:rPr>
        <w:t>При этом выплата ОДП семье (лицу), имеющей среднедушевой доход ниже черты бедности, осуществляется в следующем порядке:</w:t>
      </w:r>
      <w:r>
        <w:br/>
      </w:r>
      <w:r>
        <w:rPr>
          <w:rFonts w:ascii="Times New Roman"/>
          <w:b w:val="false"/>
          <w:i w:val="false"/>
          <w:color w:val="000000"/>
          <w:sz w:val="28"/>
        </w:rPr>
        <w:t xml:space="preserve">
      </w:t>
      </w:r>
      <w:r>
        <w:rPr>
          <w:rFonts w:ascii="Times New Roman"/>
          <w:b w:val="false"/>
          <w:i w:val="false"/>
          <w:color w:val="000000"/>
          <w:sz w:val="28"/>
        </w:rPr>
        <w:t>1) разница между среднедушевым доходом семьи и чертой бедности, установленной в областях, финансируется за счет средств местного бюджета;</w:t>
      </w:r>
      <w:r>
        <w:br/>
      </w:r>
      <w:r>
        <w:rPr>
          <w:rFonts w:ascii="Times New Roman"/>
          <w:b w:val="false"/>
          <w:i w:val="false"/>
          <w:color w:val="000000"/>
          <w:sz w:val="28"/>
        </w:rPr>
        <w:t xml:space="preserve">
      </w:t>
      </w:r>
      <w:r>
        <w:rPr>
          <w:rFonts w:ascii="Times New Roman"/>
          <w:b w:val="false"/>
          <w:i w:val="false"/>
          <w:color w:val="000000"/>
          <w:sz w:val="28"/>
        </w:rPr>
        <w:t>2) разница между чертой бедности, установленной в областях и 60 процентами от прожиточного минимума - за счет целевых текущих трансфертов из республиканского бюджета;</w:t>
      </w:r>
      <w:r>
        <w:br/>
      </w:r>
      <w:r>
        <w:rPr>
          <w:rFonts w:ascii="Times New Roman"/>
          <w:b w:val="false"/>
          <w:i w:val="false"/>
          <w:color w:val="000000"/>
          <w:sz w:val="28"/>
        </w:rPr>
        <w:t xml:space="preserve">
      </w:t>
      </w:r>
      <w:r>
        <w:rPr>
          <w:rFonts w:ascii="Times New Roman"/>
          <w:b w:val="false"/>
          <w:i w:val="false"/>
          <w:color w:val="000000"/>
          <w:sz w:val="28"/>
        </w:rPr>
        <w:t>В случае не выделения целевых трансфертов из республиканского бюджета ОДП полностью выплачивается из местного бюджета.</w:t>
      </w:r>
      <w:r>
        <w:br/>
      </w:r>
      <w:r>
        <w:rPr>
          <w:rFonts w:ascii="Times New Roman"/>
          <w:b w:val="false"/>
          <w:i w:val="false"/>
          <w:color w:val="000000"/>
          <w:sz w:val="28"/>
        </w:rPr>
        <w:t xml:space="preserve">
      </w:t>
      </w:r>
      <w:r>
        <w:rPr>
          <w:rFonts w:ascii="Times New Roman"/>
          <w:b w:val="false"/>
          <w:i w:val="false"/>
          <w:color w:val="000000"/>
          <w:sz w:val="28"/>
        </w:rPr>
        <w:t>Среднедушевой доход исчисляется путем деления совокупного дохода, полученного за три месяца, предшествующих месяцу обращения за назначением ОДП, на число членов семьи на три месяца и не пересматривается в течение срока действия социального контракта активизации семьи и в случае продления социального контракта.</w:t>
      </w:r>
      <w:r>
        <w:br/>
      </w:r>
      <w:r>
        <w:rPr>
          <w:rFonts w:ascii="Times New Roman"/>
          <w:b w:val="false"/>
          <w:i w:val="false"/>
          <w:color w:val="000000"/>
          <w:sz w:val="28"/>
        </w:rPr>
        <w:t xml:space="preserve">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xml:space="preserve">
      </w:t>
      </w:r>
      <w:r>
        <w:rPr>
          <w:rFonts w:ascii="Times New Roman"/>
          <w:b w:val="false"/>
          <w:i w:val="false"/>
          <w:color w:val="000000"/>
          <w:sz w:val="28"/>
        </w:rPr>
        <w:t>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xml:space="preserve">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организации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xml:space="preserve">
      </w:t>
      </w:r>
      <w:r>
        <w:rPr>
          <w:rFonts w:ascii="Times New Roman"/>
          <w:b w:val="false"/>
          <w:i w:val="false"/>
          <w:color w:val="000000"/>
          <w:sz w:val="28"/>
        </w:rPr>
        <w:t>2. Руководителю аппарата Чингирлауского районного маслихата (Б.Уразгалиев) обеспечить государственную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Б.Казенов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Г.Волкогон</w:t>
            </w:r>
            <w:r>
              <w:rPr>
                <w:rFonts w:ascii="Times New Roman"/>
                <w:b w:val="false"/>
                <w:i w:val="false"/>
                <w:color w:val="000000"/>
                <w:sz w:val="20"/>
              </w:rPr>
              <w:t>
</w:t>
            </w:r>
          </w:p>
        </w:tc>
      </w:tr>
    </w:tbl>
    <w:bookmarkStart w:name="z82" w:id="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Заместитель акима</w:t>
      </w:r>
      <w:r>
        <w:br/>
      </w:r>
      <w:r>
        <w:rPr>
          <w:rFonts w:ascii="Times New Roman"/>
          <w:b w:val="false"/>
          <w:i w:val="false"/>
          <w:color w:val="000000"/>
          <w:sz w:val="28"/>
        </w:rPr>
        <w:t>Западно-Казахстанской области</w:t>
      </w:r>
      <w:r>
        <w:br/>
      </w:r>
      <w:r>
        <w:rPr>
          <w:rFonts w:ascii="Times New Roman"/>
          <w:b w:val="false"/>
          <w:i w:val="false"/>
          <w:color w:val="000000"/>
          <w:sz w:val="28"/>
        </w:rPr>
        <w:t>________________ М.Токжанов</w:t>
      </w:r>
    </w:p>
    <w:bookmarkEnd w:id="1"/>
    <w:bookmarkStart w:name="z83" w:id="2"/>
    <w:p>
      <w:pPr>
        <w:spacing w:after="0"/>
        <w:ind w:left="0"/>
        <w:jc w:val="both"/>
      </w:pPr>
      <w:r>
        <w:rPr>
          <w:rFonts w:ascii="Times New Roman"/>
          <w:b w:val="false"/>
          <w:i w:val="false"/>
          <w:color w:val="000000"/>
          <w:sz w:val="28"/>
        </w:rPr>
        <w:t>
      25.05.2016 г.</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