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4658" w14:textId="dee4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повышения квалификации судебных экспертов</w:t>
      </w:r>
    </w:p>
    <w:p>
      <w:pPr>
        <w:spacing w:after="0"/>
        <w:ind w:left="0"/>
        <w:jc w:val="both"/>
      </w:pPr>
      <w:r>
        <w:rPr>
          <w:rFonts w:ascii="Times New Roman"/>
          <w:b w:val="false"/>
          <w:i w:val="false"/>
          <w:color w:val="000000"/>
          <w:sz w:val="28"/>
        </w:rPr>
        <w:t>Приказ Министра юстиции Республики Казахстан от 31 марта 2017 года № 346. Зарегистрирован в Министерстве юстиции Республики Казахстан 5 апреля 2017 года № 14980.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12 Закона Республики Казахстан от 10 февраля 2017 года "О судебно-экспертной деятельности"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повышения квалификации судебных экспертов.</w:t>
      </w:r>
    </w:p>
    <w:bookmarkEnd w:id="1"/>
    <w:bookmarkStart w:name="z5" w:id="2"/>
    <w:p>
      <w:pPr>
        <w:spacing w:after="0"/>
        <w:ind w:left="0"/>
        <w:jc w:val="both"/>
      </w:pPr>
      <w:r>
        <w:rPr>
          <w:rFonts w:ascii="Times New Roman"/>
          <w:b w:val="false"/>
          <w:i w:val="false"/>
          <w:color w:val="000000"/>
          <w:sz w:val="28"/>
        </w:rPr>
        <w:t>
       2. Департаменту организации экспертной деятельности Министерства юстиции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5"/>
    <w:bookmarkStart w:name="z9"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от31 марта 2017 года № 346</w:t>
            </w:r>
          </w:p>
        </w:tc>
      </w:tr>
    </w:tbl>
    <w:bookmarkStart w:name="z12" w:id="7"/>
    <w:p>
      <w:pPr>
        <w:spacing w:after="0"/>
        <w:ind w:left="0"/>
        <w:jc w:val="left"/>
      </w:pPr>
      <w:r>
        <w:rPr>
          <w:rFonts w:ascii="Times New Roman"/>
          <w:b/>
          <w:i w:val="false"/>
          <w:color w:val="000000"/>
        </w:rPr>
        <w:t xml:space="preserve"> Правила повышения квалификации судебных экспертов</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Правила повышения квалификации судебных экспертов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февраля 2017 года "О судебно-экспертной деятельности" и определяют порядок повышения квалификации судебных экспертов органа судебной экспертизы (далее - судебные эксперты), а также лиц, осуществляющих судебно-экспертную деятельность на основании лицензии (далее – лицензиаты). </w:t>
      </w:r>
    </w:p>
    <w:bookmarkEnd w:id="9"/>
    <w:bookmarkStart w:name="z15" w:id="10"/>
    <w:p>
      <w:pPr>
        <w:spacing w:after="0"/>
        <w:ind w:left="0"/>
        <w:jc w:val="both"/>
      </w:pPr>
      <w:r>
        <w:rPr>
          <w:rFonts w:ascii="Times New Roman"/>
          <w:b w:val="false"/>
          <w:i w:val="false"/>
          <w:color w:val="000000"/>
          <w:sz w:val="28"/>
        </w:rPr>
        <w:t>
      2. Повышение квалификации судебных экспертов и лицензиатов осуществляется в целях развития и углубления профессиональных знаний и навыков, необходимых для выполнения ими своих функций в качестве судебных экспертов и лицензиатов.</w:t>
      </w:r>
    </w:p>
    <w:bookmarkEnd w:id="10"/>
    <w:bookmarkStart w:name="z16" w:id="11"/>
    <w:p>
      <w:pPr>
        <w:spacing w:after="0"/>
        <w:ind w:left="0"/>
        <w:jc w:val="both"/>
      </w:pPr>
      <w:r>
        <w:rPr>
          <w:rFonts w:ascii="Times New Roman"/>
          <w:b w:val="false"/>
          <w:i w:val="false"/>
          <w:color w:val="000000"/>
          <w:sz w:val="28"/>
        </w:rPr>
        <w:t xml:space="preserve">
      3. Основными принципами повышения квалификации судебных экспертов и лицензиатов являются системность, непрерывность, преемственность обучения в сочетании с самообразованием. </w:t>
      </w:r>
    </w:p>
    <w:bookmarkEnd w:id="11"/>
    <w:bookmarkStart w:name="z17" w:id="12"/>
    <w:p>
      <w:pPr>
        <w:spacing w:after="0"/>
        <w:ind w:left="0"/>
        <w:jc w:val="both"/>
      </w:pPr>
      <w:r>
        <w:rPr>
          <w:rFonts w:ascii="Times New Roman"/>
          <w:b w:val="false"/>
          <w:i w:val="false"/>
          <w:color w:val="000000"/>
          <w:sz w:val="28"/>
        </w:rPr>
        <w:t xml:space="preserve">
      4. Координацию деятельности по вопросам повышения квалификации судебных экспертов, а также лицензиатов осуществляет орган судебной экспертизы при участии Палаты судебных экспертов Республики Казахстан (далее - Палата). </w:t>
      </w:r>
    </w:p>
    <w:bookmarkEnd w:id="12"/>
    <w:bookmarkStart w:name="z18" w:id="13"/>
    <w:p>
      <w:pPr>
        <w:spacing w:after="0"/>
        <w:ind w:left="0"/>
        <w:jc w:val="both"/>
      </w:pPr>
      <w:r>
        <w:rPr>
          <w:rFonts w:ascii="Times New Roman"/>
          <w:b w:val="false"/>
          <w:i w:val="false"/>
          <w:color w:val="000000"/>
          <w:sz w:val="28"/>
        </w:rPr>
        <w:t>
      5. Повышение квалификации судебных экспертов, а также лицензиатов проводится в виде обучающих семинаров, курсов повышения квалификации, обучающих тренингов, "мастер-классов", обучения на практике (стажировка) в:</w:t>
      </w:r>
    </w:p>
    <w:bookmarkEnd w:id="13"/>
    <w:bookmarkStart w:name="z19" w:id="14"/>
    <w:p>
      <w:pPr>
        <w:spacing w:after="0"/>
        <w:ind w:left="0"/>
        <w:jc w:val="both"/>
      </w:pPr>
      <w:r>
        <w:rPr>
          <w:rFonts w:ascii="Times New Roman"/>
          <w:b w:val="false"/>
          <w:i w:val="false"/>
          <w:color w:val="000000"/>
          <w:sz w:val="28"/>
        </w:rPr>
        <w:t>
      1) органах судебной экспертизы;</w:t>
      </w:r>
    </w:p>
    <w:bookmarkEnd w:id="14"/>
    <w:bookmarkStart w:name="z20" w:id="15"/>
    <w:p>
      <w:pPr>
        <w:spacing w:after="0"/>
        <w:ind w:left="0"/>
        <w:jc w:val="both"/>
      </w:pPr>
      <w:r>
        <w:rPr>
          <w:rFonts w:ascii="Times New Roman"/>
          <w:b w:val="false"/>
          <w:i w:val="false"/>
          <w:color w:val="000000"/>
          <w:sz w:val="28"/>
        </w:rPr>
        <w:t>
      2) государственных и негосударственных организациях;</w:t>
      </w:r>
    </w:p>
    <w:bookmarkEnd w:id="15"/>
    <w:bookmarkStart w:name="z21" w:id="16"/>
    <w:p>
      <w:pPr>
        <w:spacing w:after="0"/>
        <w:ind w:left="0"/>
        <w:jc w:val="both"/>
      </w:pPr>
      <w:r>
        <w:rPr>
          <w:rFonts w:ascii="Times New Roman"/>
          <w:b w:val="false"/>
          <w:i w:val="false"/>
          <w:color w:val="000000"/>
          <w:sz w:val="28"/>
        </w:rPr>
        <w:t>
      3) учебно-образовательных учреждениях;</w:t>
      </w:r>
    </w:p>
    <w:bookmarkEnd w:id="16"/>
    <w:bookmarkStart w:name="z22" w:id="17"/>
    <w:p>
      <w:pPr>
        <w:spacing w:after="0"/>
        <w:ind w:left="0"/>
        <w:jc w:val="both"/>
      </w:pPr>
      <w:r>
        <w:rPr>
          <w:rFonts w:ascii="Times New Roman"/>
          <w:b w:val="false"/>
          <w:i w:val="false"/>
          <w:color w:val="000000"/>
          <w:sz w:val="28"/>
        </w:rPr>
        <w:t xml:space="preserve">
      4) производственных базах, как в Республике Казахстан, так и за рубежом. </w:t>
      </w:r>
    </w:p>
    <w:bookmarkEnd w:id="17"/>
    <w:bookmarkStart w:name="z23" w:id="18"/>
    <w:p>
      <w:pPr>
        <w:spacing w:after="0"/>
        <w:ind w:left="0"/>
        <w:jc w:val="both"/>
      </w:pPr>
      <w:r>
        <w:rPr>
          <w:rFonts w:ascii="Times New Roman"/>
          <w:b w:val="false"/>
          <w:i w:val="false"/>
          <w:color w:val="000000"/>
          <w:sz w:val="28"/>
        </w:rPr>
        <w:t xml:space="preserve">
      6. Повышение квалификации судебных экспертов в области судебной медицины, судебной психиатрии и наркологии, имеющих медицинское образование, осуществляется в соответствии с Правилами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правилами признания результатов обучения, полученных специалистами в области здравоохранения через дополнительное и неформальное образование,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за № 21847).</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03.01.2024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Глава 2. Порядок повышения квалификации судебных экспертов</w:t>
      </w:r>
    </w:p>
    <w:bookmarkEnd w:id="19"/>
    <w:bookmarkStart w:name="z25" w:id="20"/>
    <w:p>
      <w:pPr>
        <w:spacing w:after="0"/>
        <w:ind w:left="0"/>
        <w:jc w:val="both"/>
      </w:pPr>
      <w:r>
        <w:rPr>
          <w:rFonts w:ascii="Times New Roman"/>
          <w:b w:val="false"/>
          <w:i w:val="false"/>
          <w:color w:val="000000"/>
          <w:sz w:val="28"/>
        </w:rPr>
        <w:t>
      7. Для обеспечения надлежащего профессионального уровня судебные эксперты и лицензиаты один раз в пять лет проходят повышение квалификации.</w:t>
      </w:r>
    </w:p>
    <w:bookmarkEnd w:id="20"/>
    <w:bookmarkStart w:name="z26" w:id="21"/>
    <w:p>
      <w:pPr>
        <w:spacing w:after="0"/>
        <w:ind w:left="0"/>
        <w:jc w:val="both"/>
      </w:pPr>
      <w:r>
        <w:rPr>
          <w:rFonts w:ascii="Times New Roman"/>
          <w:b w:val="false"/>
          <w:i w:val="false"/>
          <w:color w:val="000000"/>
          <w:sz w:val="28"/>
        </w:rPr>
        <w:t xml:space="preserve">
      8. Пятилетний период начинается с года, следующего за годом получения квалификационного свидетельства судебного эксперта и лицензиата. </w:t>
      </w:r>
    </w:p>
    <w:bookmarkEnd w:id="21"/>
    <w:bookmarkStart w:name="z27" w:id="22"/>
    <w:p>
      <w:pPr>
        <w:spacing w:after="0"/>
        <w:ind w:left="0"/>
        <w:jc w:val="both"/>
      </w:pPr>
      <w:r>
        <w:rPr>
          <w:rFonts w:ascii="Times New Roman"/>
          <w:b w:val="false"/>
          <w:i w:val="false"/>
          <w:color w:val="000000"/>
          <w:sz w:val="28"/>
        </w:rPr>
        <w:t xml:space="preserve">
      В пятилетний период не включается перерыв в стаже работы судебных экспертов и лицензиатов, а также </w:t>
      </w:r>
      <w:r>
        <w:rPr>
          <w:rFonts w:ascii="Times New Roman"/>
          <w:b w:val="false"/>
          <w:i w:val="false"/>
          <w:color w:val="000000"/>
          <w:sz w:val="28"/>
        </w:rPr>
        <w:t>отпуск</w:t>
      </w:r>
      <w:r>
        <w:rPr>
          <w:rFonts w:ascii="Times New Roman"/>
          <w:b w:val="false"/>
          <w:i w:val="false"/>
          <w:color w:val="000000"/>
          <w:sz w:val="28"/>
        </w:rPr>
        <w:t xml:space="preserve"> без сохранения заработной платы по уходу за ребенком до достижения им трехлетнего возраста. </w:t>
      </w:r>
    </w:p>
    <w:bookmarkEnd w:id="22"/>
    <w:bookmarkStart w:name="z28" w:id="23"/>
    <w:p>
      <w:pPr>
        <w:spacing w:after="0"/>
        <w:ind w:left="0"/>
        <w:jc w:val="both"/>
      </w:pPr>
      <w:r>
        <w:rPr>
          <w:rFonts w:ascii="Times New Roman"/>
          <w:b w:val="false"/>
          <w:i w:val="false"/>
          <w:color w:val="000000"/>
          <w:sz w:val="28"/>
        </w:rPr>
        <w:t>
      9. Информация о планируемых мероприятиях по повышению квалификации судебных экспертов и лицензиатов размещается на официальном сайте органа судебной экспертизы руководителем органа судебной экспертизы, либо лицом, исполняющим его обязанности, а также на сайте Палаты руководителем Палаты, либо лицом, исполняющим его обязанности.</w:t>
      </w:r>
    </w:p>
    <w:bookmarkEnd w:id="23"/>
    <w:bookmarkStart w:name="z29" w:id="24"/>
    <w:p>
      <w:pPr>
        <w:spacing w:after="0"/>
        <w:ind w:left="0"/>
        <w:jc w:val="both"/>
      </w:pPr>
      <w:r>
        <w:rPr>
          <w:rFonts w:ascii="Times New Roman"/>
          <w:b w:val="false"/>
          <w:i w:val="false"/>
          <w:color w:val="000000"/>
          <w:sz w:val="28"/>
        </w:rPr>
        <w:t>
      10. Руководителем органа судебной экспертизы, либо лицом, исполняющим его обязанности, утверждается список судебных экспертов, а также список лицензиатов по представлению Палаты.</w:t>
      </w:r>
    </w:p>
    <w:bookmarkEnd w:id="24"/>
    <w:bookmarkStart w:name="z30" w:id="25"/>
    <w:p>
      <w:pPr>
        <w:spacing w:after="0"/>
        <w:ind w:left="0"/>
        <w:jc w:val="both"/>
      </w:pPr>
      <w:r>
        <w:rPr>
          <w:rFonts w:ascii="Times New Roman"/>
          <w:b w:val="false"/>
          <w:i w:val="false"/>
          <w:color w:val="000000"/>
          <w:sz w:val="28"/>
        </w:rPr>
        <w:t>
      11. После утверждения списка судебных экспертов, проходящих повышение квалификации, руководитель органа судебной экспертизы, либо лицо, исполняющее его обязанности, незамедлительно извещает территориальные подразделения органа судебной экспертизы о дате и месте проведения обучения. Лицензиатов о дате и месте проведения повышения квалификации извещает Палата.</w:t>
      </w:r>
    </w:p>
    <w:bookmarkEnd w:id="25"/>
    <w:bookmarkStart w:name="z31" w:id="26"/>
    <w:p>
      <w:pPr>
        <w:spacing w:after="0"/>
        <w:ind w:left="0"/>
        <w:jc w:val="both"/>
      </w:pPr>
      <w:r>
        <w:rPr>
          <w:rFonts w:ascii="Times New Roman"/>
          <w:b w:val="false"/>
          <w:i w:val="false"/>
          <w:color w:val="000000"/>
          <w:sz w:val="28"/>
        </w:rPr>
        <w:t>
      12. Повышение квалификации составляет 120 часов обучения, из которых:</w:t>
      </w:r>
    </w:p>
    <w:bookmarkEnd w:id="26"/>
    <w:bookmarkStart w:name="z32" w:id="27"/>
    <w:p>
      <w:pPr>
        <w:spacing w:after="0"/>
        <w:ind w:left="0"/>
        <w:jc w:val="both"/>
      </w:pPr>
      <w:r>
        <w:rPr>
          <w:rFonts w:ascii="Times New Roman"/>
          <w:b w:val="false"/>
          <w:i w:val="false"/>
          <w:color w:val="000000"/>
          <w:sz w:val="28"/>
        </w:rPr>
        <w:t xml:space="preserve">
      1) 60 обязательных академических часов обучения судебные эксперты проходят в порядке, установленном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27"/>
    <w:bookmarkStart w:name="z33" w:id="28"/>
    <w:p>
      <w:pPr>
        <w:spacing w:after="0"/>
        <w:ind w:left="0"/>
        <w:jc w:val="both"/>
      </w:pPr>
      <w:r>
        <w:rPr>
          <w:rFonts w:ascii="Times New Roman"/>
          <w:b w:val="false"/>
          <w:i w:val="false"/>
          <w:color w:val="000000"/>
          <w:sz w:val="28"/>
        </w:rPr>
        <w:t xml:space="preserve">
      2) 60 часов дополнительных часов проходят в порядке, установленном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юстиции РК от 27.01.2020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13. Обязательные часы повышения квалификации включают в себя изучение теоретических и практических вопросов непосредственно по экспертной специальности.</w:t>
      </w:r>
    </w:p>
    <w:bookmarkEnd w:id="29"/>
    <w:bookmarkStart w:name="z35" w:id="30"/>
    <w:p>
      <w:pPr>
        <w:spacing w:after="0"/>
        <w:ind w:left="0"/>
        <w:jc w:val="both"/>
      </w:pPr>
      <w:r>
        <w:rPr>
          <w:rFonts w:ascii="Times New Roman"/>
          <w:b w:val="false"/>
          <w:i w:val="false"/>
          <w:color w:val="000000"/>
          <w:sz w:val="28"/>
        </w:rPr>
        <w:t>
      14. Дополнительные часы повышения квалификации проводятся с целью развития профессиональных, интеллектуальных, специальных и функциональных знаний, умений и навыков.</w:t>
      </w:r>
    </w:p>
    <w:bookmarkEnd w:id="30"/>
    <w:bookmarkStart w:name="z36" w:id="31"/>
    <w:p>
      <w:pPr>
        <w:spacing w:after="0"/>
        <w:ind w:left="0"/>
        <w:jc w:val="both"/>
      </w:pPr>
      <w:r>
        <w:rPr>
          <w:rFonts w:ascii="Times New Roman"/>
          <w:b w:val="false"/>
          <w:i w:val="false"/>
          <w:color w:val="000000"/>
          <w:sz w:val="28"/>
        </w:rPr>
        <w:t xml:space="preserve">
      15. В дополнительные часы, кроме различных форм повышения квалификации, установленных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включается опубликование научных работ, статей, докладов, участие на конференциях, семинарах, форумах, исчисляемых системой перерасчета зачетных единиц согласно приложению, к настоящим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27.01.2020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16. Судебные эксперты территориальных подразделений проходят повышение квалификации согласно планам, утвержденным руководителем органа судебной экспертизы, либо лицом, исполняющим его обязанности. Лицензиаты проходят повышение квалификации согласно планам, утвержденным руководителем Палаты, либо лицом, исполняющим его обязанности. </w:t>
      </w:r>
    </w:p>
    <w:bookmarkEnd w:id="32"/>
    <w:bookmarkStart w:name="z38" w:id="33"/>
    <w:p>
      <w:pPr>
        <w:spacing w:after="0"/>
        <w:ind w:left="0"/>
        <w:jc w:val="both"/>
      </w:pPr>
      <w:r>
        <w:rPr>
          <w:rFonts w:ascii="Times New Roman"/>
          <w:b w:val="false"/>
          <w:i w:val="false"/>
          <w:color w:val="000000"/>
          <w:sz w:val="28"/>
        </w:rPr>
        <w:t>
      17. По окончании курсов повышения квалификации судебные эксперты представляют в орган судебной экспертизы, а лицензиаты в Палату следующие документы:</w:t>
      </w:r>
    </w:p>
    <w:bookmarkEnd w:id="33"/>
    <w:bookmarkStart w:name="z39" w:id="34"/>
    <w:p>
      <w:pPr>
        <w:spacing w:after="0"/>
        <w:ind w:left="0"/>
        <w:jc w:val="both"/>
      </w:pPr>
      <w:r>
        <w:rPr>
          <w:rFonts w:ascii="Times New Roman"/>
          <w:b w:val="false"/>
          <w:i w:val="false"/>
          <w:color w:val="000000"/>
          <w:sz w:val="28"/>
        </w:rPr>
        <w:t xml:space="preserve">
      1) копию документа о прохождении повышения квалификации; </w:t>
      </w:r>
    </w:p>
    <w:bookmarkEnd w:id="34"/>
    <w:bookmarkStart w:name="z40" w:id="35"/>
    <w:p>
      <w:pPr>
        <w:spacing w:after="0"/>
        <w:ind w:left="0"/>
        <w:jc w:val="both"/>
      </w:pPr>
      <w:r>
        <w:rPr>
          <w:rFonts w:ascii="Times New Roman"/>
          <w:b w:val="false"/>
          <w:i w:val="false"/>
          <w:color w:val="000000"/>
          <w:sz w:val="28"/>
        </w:rPr>
        <w:t>
      2) отчет о прохождении повышения квалификации.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Правилам повышения</w:t>
            </w:r>
            <w:r>
              <w:br/>
            </w:r>
            <w:r>
              <w:rPr>
                <w:rFonts w:ascii="Times New Roman"/>
                <w:b w:val="false"/>
                <w:i w:val="false"/>
                <w:color w:val="000000"/>
                <w:sz w:val="20"/>
              </w:rPr>
              <w:t>квалификации судебных экспертов</w:t>
            </w:r>
          </w:p>
        </w:tc>
      </w:tr>
    </w:tbl>
    <w:bookmarkStart w:name="z42" w:id="36"/>
    <w:p>
      <w:pPr>
        <w:spacing w:after="0"/>
        <w:ind w:left="0"/>
        <w:jc w:val="left"/>
      </w:pPr>
      <w:r>
        <w:rPr>
          <w:rFonts w:ascii="Times New Roman"/>
          <w:b/>
          <w:i w:val="false"/>
          <w:color w:val="000000"/>
        </w:rPr>
        <w:t xml:space="preserve"> Система пересчета зачетных единиц при прохождении курсов повышения квалификации судебных экспертов</w:t>
      </w:r>
    </w:p>
    <w:bookmarkEnd w:id="36"/>
    <w:p>
      <w:pPr>
        <w:spacing w:after="0"/>
        <w:ind w:left="0"/>
        <w:jc w:val="both"/>
      </w:pPr>
      <w:r>
        <w:rPr>
          <w:rFonts w:ascii="Times New Roman"/>
          <w:b w:val="false"/>
          <w:i w:val="false"/>
          <w:color w:val="ff0000"/>
          <w:sz w:val="28"/>
        </w:rPr>
        <w:t xml:space="preserve">
      Сноска. Правила дополнены приложением в соответствии с приказом Министра юстиции РК от 27.01.2020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зачетных единиц (ЗЕ)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зачетные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- 60 обязательных академических часов </w:t>
            </w:r>
          </w:p>
          <w:p>
            <w:pPr>
              <w:spacing w:after="20"/>
              <w:ind w:left="20"/>
              <w:jc w:val="both"/>
            </w:pPr>
            <w:r>
              <w:rPr>
                <w:rFonts w:ascii="Times New Roman"/>
                <w:b w:val="false"/>
                <w:i w:val="false"/>
                <w:color w:val="000000"/>
                <w:sz w:val="20"/>
              </w:rPr>
              <w:t>
* - учитываются часы повышения квалификации, пройденные в органе судебной экспертизы, государственных и негосударственных организациях, учебно-образовательных учреждениях производственных базах как в Республике Казахстан, так и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зачетные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Подтвержденное сертификатом участия в работе конференции (тема, место проведения, организатор проведения, дата):</w:t>
            </w:r>
          </w:p>
          <w:p>
            <w:pPr>
              <w:spacing w:after="20"/>
              <w:ind w:left="20"/>
              <w:jc w:val="both"/>
            </w:pPr>
            <w:r>
              <w:rPr>
                <w:rFonts w:ascii="Times New Roman"/>
                <w:b w:val="false"/>
                <w:i w:val="false"/>
                <w:color w:val="000000"/>
                <w:sz w:val="20"/>
              </w:rPr>
              <w:t>
-научно-практической (участие/участие с докладом)</w:t>
            </w:r>
          </w:p>
          <w:p>
            <w:pPr>
              <w:spacing w:after="20"/>
              <w:ind w:left="20"/>
              <w:jc w:val="both"/>
            </w:pPr>
            <w:r>
              <w:rPr>
                <w:rFonts w:ascii="Times New Roman"/>
                <w:b w:val="false"/>
                <w:i w:val="false"/>
                <w:color w:val="000000"/>
                <w:sz w:val="20"/>
              </w:rPr>
              <w:t>
- международной (участие/участие с докладом)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обучающих семинарах, лекциях, проводимых в органе судебной экспертизы, государственных и негосударственных организациях, учебно-образовательных учреждениях, производственных базах как в Республике Казахстан, так и за рубежом, в том числе, с применением дистанционных образовательных технологий (тема, продолжительность в час, место проведения, организатор проведения,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монографии (тема, авторы, издательство, дата): </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по перечню Высшей аттестационной комиссии (тема, авторы, наименование и №издания, дата):</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зарубежных изданиях (тема, авторы, наименование и №издания, дата):</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p>
            <w:pPr>
              <w:spacing w:after="20"/>
              <w:ind w:left="20"/>
              <w:jc w:val="both"/>
            </w:pPr>
            <w:r>
              <w:rPr>
                <w:rFonts w:ascii="Times New Roman"/>
                <w:b w:val="false"/>
                <w:i w:val="false"/>
                <w:color w:val="000000"/>
                <w:sz w:val="20"/>
              </w:rPr>
              <w:t>
В рецензируемых журналах:</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других специализированных изданиях, сайтах (тема, авторы, наименование и № издания, дата, ссылка на сайт):</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тезисов доклада в сборниках научно-практических конференций *(тема, авторы, наименование и №издания, дата):</w:t>
            </w:r>
          </w:p>
          <w:p>
            <w:pPr>
              <w:spacing w:after="20"/>
              <w:ind w:left="20"/>
              <w:jc w:val="both"/>
            </w:pPr>
            <w:r>
              <w:rPr>
                <w:rFonts w:ascii="Times New Roman"/>
                <w:b w:val="false"/>
                <w:i w:val="false"/>
                <w:color w:val="000000"/>
                <w:sz w:val="20"/>
              </w:rPr>
              <w:t xml:space="preserve">
- республиканского уровня </w:t>
            </w:r>
          </w:p>
          <w:p>
            <w:pPr>
              <w:spacing w:after="20"/>
              <w:ind w:left="20"/>
              <w:jc w:val="both"/>
            </w:pPr>
            <w:r>
              <w:rPr>
                <w:rFonts w:ascii="Times New Roman"/>
                <w:b w:val="false"/>
                <w:i w:val="false"/>
                <w:color w:val="000000"/>
                <w:sz w:val="20"/>
              </w:rPr>
              <w:t xml:space="preserve">
- международного уровня </w:t>
            </w:r>
          </w:p>
          <w:p>
            <w:pPr>
              <w:spacing w:after="20"/>
              <w:ind w:left="20"/>
              <w:jc w:val="both"/>
            </w:pPr>
            <w:r>
              <w:rPr>
                <w:rFonts w:ascii="Times New Roman"/>
                <w:b w:val="false"/>
                <w:i w:val="false"/>
                <w:color w:val="000000"/>
                <w:sz w:val="20"/>
              </w:rPr>
              <w:t>
* - учитывается для автора и первых 3-х соавторов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тезис = 3</w:t>
            </w:r>
          </w:p>
          <w:p>
            <w:pPr>
              <w:spacing w:after="20"/>
              <w:ind w:left="20"/>
              <w:jc w:val="both"/>
            </w:pPr>
            <w:r>
              <w:rPr>
                <w:rFonts w:ascii="Times New Roman"/>
                <w:b w:val="false"/>
                <w:i w:val="false"/>
                <w:color w:val="000000"/>
                <w:sz w:val="20"/>
              </w:rPr>
              <w:t>
1 тезис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 и методических рекомендаций судебной экспертизы (тема, авторы):</w:t>
            </w:r>
          </w:p>
          <w:p>
            <w:pPr>
              <w:spacing w:after="20"/>
              <w:ind w:left="20"/>
              <w:jc w:val="both"/>
            </w:pPr>
            <w:r>
              <w:rPr>
                <w:rFonts w:ascii="Times New Roman"/>
                <w:b w:val="false"/>
                <w:i w:val="false"/>
                <w:color w:val="000000"/>
                <w:sz w:val="20"/>
              </w:rPr>
              <w:t>
Методики:</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p>
            <w:pPr>
              <w:spacing w:after="20"/>
              <w:ind w:left="20"/>
              <w:jc w:val="both"/>
            </w:pPr>
            <w:r>
              <w:rPr>
                <w:rFonts w:ascii="Times New Roman"/>
                <w:b w:val="false"/>
                <w:i w:val="false"/>
                <w:color w:val="000000"/>
                <w:sz w:val="20"/>
              </w:rPr>
              <w:t>
Методические рекомендации:</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патента на изобретение (№ и дата выдачи свидетельства)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об интеллектуальной собственности (№ и дата выдачи свидетельства)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за рубежом (дистанционное обучение), подтвержденная выдачей документа о количестве рабочих часов (тема, продолжительность, место прохождения,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день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мастер-классе, тренинге по специальности (тема, продолжительность, место проведения, организатор проведения, дата):</w:t>
            </w:r>
          </w:p>
          <w:p>
            <w:pPr>
              <w:spacing w:after="20"/>
              <w:ind w:left="20"/>
              <w:jc w:val="both"/>
            </w:pPr>
            <w:r>
              <w:rPr>
                <w:rFonts w:ascii="Times New Roman"/>
                <w:b w:val="false"/>
                <w:i w:val="false"/>
                <w:color w:val="000000"/>
                <w:sz w:val="20"/>
              </w:rPr>
              <w:t>
- в Республике Казахстан</w:t>
            </w:r>
          </w:p>
          <w:p>
            <w:pPr>
              <w:spacing w:after="20"/>
              <w:ind w:left="20"/>
              <w:jc w:val="both"/>
            </w:pPr>
            <w:r>
              <w:rPr>
                <w:rFonts w:ascii="Times New Roman"/>
                <w:b w:val="false"/>
                <w:i w:val="false"/>
                <w:color w:val="000000"/>
                <w:sz w:val="20"/>
              </w:rPr>
              <w:t>
-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день = 5</w:t>
            </w:r>
          </w:p>
          <w:p>
            <w:pPr>
              <w:spacing w:after="20"/>
              <w:ind w:left="20"/>
              <w:jc w:val="both"/>
            </w:pPr>
            <w:r>
              <w:rPr>
                <w:rFonts w:ascii="Times New Roman"/>
                <w:b w:val="false"/>
                <w:i w:val="false"/>
                <w:color w:val="000000"/>
                <w:sz w:val="20"/>
              </w:rPr>
              <w:t>
1 день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средствами массовой информации (тема, наименование телеканала и программы, наименование, № издания, дата):</w:t>
            </w:r>
          </w:p>
          <w:p>
            <w:pPr>
              <w:spacing w:after="20"/>
              <w:ind w:left="20"/>
              <w:jc w:val="both"/>
            </w:pPr>
            <w:r>
              <w:rPr>
                <w:rFonts w:ascii="Times New Roman"/>
                <w:b w:val="false"/>
                <w:i w:val="false"/>
                <w:color w:val="000000"/>
                <w:sz w:val="20"/>
              </w:rPr>
              <w:t>
- участие в телепередачах, посвященных вопросам судебной экспертизы</w:t>
            </w:r>
          </w:p>
          <w:p>
            <w:pPr>
              <w:spacing w:after="20"/>
              <w:ind w:left="20"/>
              <w:jc w:val="both"/>
            </w:pPr>
            <w:r>
              <w:rPr>
                <w:rFonts w:ascii="Times New Roman"/>
                <w:b w:val="false"/>
                <w:i w:val="false"/>
                <w:color w:val="000000"/>
                <w:sz w:val="20"/>
              </w:rPr>
              <w:t>
- публикации в газетах и неспециализированных журналах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в практическую деятельность стандарта: </w:t>
            </w:r>
          </w:p>
          <w:p>
            <w:pPr>
              <w:spacing w:after="20"/>
              <w:ind w:left="20"/>
              <w:jc w:val="both"/>
            </w:pPr>
            <w:r>
              <w:rPr>
                <w:rFonts w:ascii="Times New Roman"/>
                <w:b w:val="false"/>
                <w:i w:val="false"/>
                <w:color w:val="000000"/>
                <w:sz w:val="20"/>
              </w:rPr>
              <w:t>
- Моноавторство/первый автор</w:t>
            </w:r>
          </w:p>
          <w:p>
            <w:pPr>
              <w:spacing w:after="20"/>
              <w:ind w:left="20"/>
              <w:jc w:val="both"/>
            </w:pPr>
            <w:r>
              <w:rPr>
                <w:rFonts w:ascii="Times New Roman"/>
                <w:b w:val="false"/>
                <w:i w:val="false"/>
                <w:color w:val="000000"/>
                <w:sz w:val="20"/>
              </w:rPr>
              <w:t>
- Соавторство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