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f648" w14:textId="027f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29 апреля 2017 года № 255. Зарегистрирован в Министерстве юстиции Республики Казахстан 2 июня 2017 года № 15196</w:t>
      </w:r>
    </w:p>
    <w:p>
      <w:pPr>
        <w:spacing w:after="0"/>
        <w:ind w:left="0"/>
        <w:jc w:val="left"/>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Внести в некоторые приказы Министра национальной экономики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 февраля 2015 года № 71 "Об утверждении Правил оказания инжиниринговых услуг в сфере архитектурной, градостроительной и строительной деятельности" (зарегистрированный в Реестре государственной регистрации нормативных правовых актов за № 10401, опубликованный 20 марта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xml:space="preserve">форму 5 "Учетный лист журнала технического надзора" приложения 1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(зарегистрированный в Реестре государственной регистрации нормативных правовых актов за № 10795, опубликованный 15 мая 2015 года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xml:space="preserve">абзац четвертый подпункта 3)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"задание на проектирование (в задании на проектирование объектов, финансируемых за счет государственных инвестиций в строительство в рамках государственных и правительственных программ, обязательным требованием является применение строительных материалов, оборудований, изделий и конструкций казахстанского производства с учетом международных обязательств);";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"11. Заказчик в ходе организации строительства и подготовки строительной площадки:</w:t>
      </w:r>
      <w:r>
        <w:br/>
      </w:r>
      <w:r>
        <w:rPr>
          <w:rFonts w:ascii="Times New Roman"/>
          <w:b w:val="false"/>
          <w:i w:val="false"/>
          <w:color w:val="000000"/>
          <w:sz w:val="28"/>
        </w:rPr>
        <w:t>
      </w:t>
      </w:r>
      <w:r>
        <w:rPr>
          <w:rFonts w:ascii="Times New Roman"/>
          <w:b w:val="false"/>
          <w:i w:val="false"/>
          <w:color w:val="000000"/>
          <w:sz w:val="28"/>
        </w:rPr>
        <w:t xml:space="preserve">1) до начала производства строительно-монтажных работ направляет уведомление о начале производства строительно-монтажных работ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16 мая 2014 года "О разрешениях и уведомлениях" (далее – Закон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xml:space="preserve">2) получает разрешения соответствующих организаций на: </w:t>
      </w:r>
      <w:r>
        <w:br/>
      </w:r>
      <w:r>
        <w:rPr>
          <w:rFonts w:ascii="Times New Roman"/>
          <w:b w:val="false"/>
          <w:i w:val="false"/>
          <w:color w:val="000000"/>
          <w:sz w:val="28"/>
        </w:rPr>
        <w:t>
      </w:t>
      </w:r>
      <w:r>
        <w:rPr>
          <w:rFonts w:ascii="Times New Roman"/>
          <w:b w:val="false"/>
          <w:i w:val="false"/>
          <w:color w:val="000000"/>
          <w:sz w:val="28"/>
        </w:rPr>
        <w:t>производство работ в зоне воздушных линий электропередач и линий связи, в полосе отвода железных дорог, в местах прохождения подземных коммуникаций, в зонах подработки земельных участков горными работами, расположенных на строительной площадке;</w:t>
      </w:r>
      <w:r>
        <w:br/>
      </w:r>
      <w:r>
        <w:rPr>
          <w:rFonts w:ascii="Times New Roman"/>
          <w:b w:val="false"/>
          <w:i w:val="false"/>
          <w:color w:val="000000"/>
          <w:sz w:val="28"/>
        </w:rPr>
        <w:t>
      </w:t>
      </w:r>
      <w:r>
        <w:rPr>
          <w:rFonts w:ascii="Times New Roman"/>
          <w:b w:val="false"/>
          <w:i w:val="false"/>
          <w:color w:val="000000"/>
          <w:sz w:val="28"/>
        </w:rPr>
        <w:t>временное пользование в период строительства в городах и других населенных пунктах электроэнергией, газом, водой,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водо-, паро- и энергоснабжения;</w:t>
      </w:r>
      <w:r>
        <w:br/>
      </w:r>
      <w:r>
        <w:rPr>
          <w:rFonts w:ascii="Times New Roman"/>
          <w:b w:val="false"/>
          <w:i w:val="false"/>
          <w:color w:val="000000"/>
          <w:sz w:val="28"/>
        </w:rPr>
        <w:t>
      </w:t>
      </w:r>
      <w:r>
        <w:rPr>
          <w:rFonts w:ascii="Times New Roman"/>
          <w:b w:val="false"/>
          <w:i w:val="false"/>
          <w:color w:val="000000"/>
          <w:sz w:val="28"/>
        </w:rPr>
        <w:t>вырубку леса и пересадку деревьев;</w:t>
      </w:r>
      <w:r>
        <w:br/>
      </w:r>
      <w:r>
        <w:rPr>
          <w:rFonts w:ascii="Times New Roman"/>
          <w:b w:val="false"/>
          <w:i w:val="false"/>
          <w:color w:val="000000"/>
          <w:sz w:val="28"/>
        </w:rPr>
        <w:t>
      </w:t>
      </w:r>
      <w:r>
        <w:rPr>
          <w:rFonts w:ascii="Times New Roman"/>
          <w:b w:val="false"/>
          <w:i w:val="false"/>
          <w:color w:val="000000"/>
          <w:sz w:val="28"/>
        </w:rPr>
        <w:t>3) обеспечивает согласование проведения землеустроительных, земляных, строительных, мелиоративных, хозяйственных работ на территории достопримечательного места, а также в зонах охраны объекта историко-культурного наследия;</w:t>
      </w:r>
      <w:r>
        <w:br/>
      </w:r>
      <w:r>
        <w:rPr>
          <w:rFonts w:ascii="Times New Roman"/>
          <w:b w:val="false"/>
          <w:i w:val="false"/>
          <w:color w:val="000000"/>
          <w:sz w:val="28"/>
        </w:rPr>
        <w:t>
      </w:t>
      </w:r>
      <w:r>
        <w:rPr>
          <w:rFonts w:ascii="Times New Roman"/>
          <w:b w:val="false"/>
          <w:i w:val="false"/>
          <w:color w:val="000000"/>
          <w:sz w:val="28"/>
        </w:rPr>
        <w:t>4) создает геодезическую разбивочную основу для строительства объекта;</w:t>
      </w:r>
      <w:r>
        <w:br/>
      </w:r>
      <w:r>
        <w:rPr>
          <w:rFonts w:ascii="Times New Roman"/>
          <w:b w:val="false"/>
          <w:i w:val="false"/>
          <w:color w:val="000000"/>
          <w:sz w:val="28"/>
        </w:rPr>
        <w:t>
      </w:t>
      </w:r>
      <w:r>
        <w:rPr>
          <w:rFonts w:ascii="Times New Roman"/>
          <w:b w:val="false"/>
          <w:i w:val="false"/>
          <w:color w:val="000000"/>
          <w:sz w:val="28"/>
        </w:rPr>
        <w:t xml:space="preserve">5) осуществляет выбор подрядчика для выполнения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государственных закупках", за исключением случаев, когда заказчик финансируется за счет негосударственных инвестиций.</w:t>
      </w:r>
      <w:r>
        <w:br/>
      </w:r>
      <w:r>
        <w:rPr>
          <w:rFonts w:ascii="Times New Roman"/>
          <w:b w:val="false"/>
          <w:i w:val="false"/>
          <w:color w:val="000000"/>
          <w:sz w:val="28"/>
        </w:rPr>
        <w:t>
      </w:t>
      </w:r>
      <w:r>
        <w:rPr>
          <w:rFonts w:ascii="Times New Roman"/>
          <w:b w:val="false"/>
          <w:i w:val="false"/>
          <w:color w:val="000000"/>
          <w:sz w:val="28"/>
        </w:rPr>
        <w:t xml:space="preserve">Сроки выполнения работ в договоре подряда определяются календарным планом строительно-монтажных работ, входящим в проект организации строительства (далее - ПОС), прошедшим экспертизу в составе проектной (проектно-сметной) документации и являющимся неотъемлемой частью договора, а также графиком финансирования строительно-монтажных работ, привязанным к календарному плану. При этом указываются начальный и конечный сроки выполнения работ, а также сроки завершения отдельных этапов работ (промежуточные сроки). Состав основных документов, разрабатываемых в проекте организации строительства (ПОС)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6) заключает договоры на осуществление авторского и технического надзоров.</w:t>
      </w:r>
      <w:r>
        <w:br/>
      </w:r>
      <w:r>
        <w:rPr>
          <w:rFonts w:ascii="Times New Roman"/>
          <w:b w:val="false"/>
          <w:i w:val="false"/>
          <w:color w:val="000000"/>
          <w:sz w:val="28"/>
        </w:rPr>
        <w:t>
      </w:t>
      </w:r>
      <w:r>
        <w:rPr>
          <w:rFonts w:ascii="Times New Roman"/>
          <w:b w:val="false"/>
          <w:i w:val="false"/>
          <w:color w:val="000000"/>
          <w:sz w:val="28"/>
        </w:rPr>
        <w:t>При наличии в штате аттестованных экспертов, технический надзор осуществляется заказчиком самостоятельно;</w:t>
      </w:r>
      <w:r>
        <w:br/>
      </w:r>
      <w:r>
        <w:rPr>
          <w:rFonts w:ascii="Times New Roman"/>
          <w:b w:val="false"/>
          <w:i w:val="false"/>
          <w:color w:val="000000"/>
          <w:sz w:val="28"/>
        </w:rPr>
        <w:t>
      </w:t>
      </w:r>
      <w:r>
        <w:rPr>
          <w:rFonts w:ascii="Times New Roman"/>
          <w:b w:val="false"/>
          <w:i w:val="false"/>
          <w:color w:val="000000"/>
          <w:sz w:val="28"/>
        </w:rPr>
        <w:t>7) передает в установленном порядке подрядчику:</w:t>
      </w:r>
      <w:r>
        <w:br/>
      </w:r>
      <w:r>
        <w:rPr>
          <w:rFonts w:ascii="Times New Roman"/>
          <w:b w:val="false"/>
          <w:i w:val="false"/>
          <w:color w:val="000000"/>
          <w:sz w:val="28"/>
        </w:rPr>
        <w:t>
      </w:t>
      </w:r>
      <w:r>
        <w:rPr>
          <w:rFonts w:ascii="Times New Roman"/>
          <w:b w:val="false"/>
          <w:i w:val="false"/>
          <w:color w:val="000000"/>
          <w:sz w:val="28"/>
        </w:rPr>
        <w:t xml:space="preserve">в согласованные с ним сроки документы, подтверждающие соответствующее право на землю и полученные разрешения соответствующих эксплуатационных организаций; </w:t>
      </w:r>
      <w:r>
        <w:br/>
      </w:r>
      <w:r>
        <w:rPr>
          <w:rFonts w:ascii="Times New Roman"/>
          <w:b w:val="false"/>
          <w:i w:val="false"/>
          <w:color w:val="000000"/>
          <w:sz w:val="28"/>
        </w:rPr>
        <w:t>
      </w:t>
      </w:r>
      <w:r>
        <w:rPr>
          <w:rFonts w:ascii="Times New Roman"/>
          <w:b w:val="false"/>
          <w:i w:val="false"/>
          <w:color w:val="000000"/>
          <w:sz w:val="28"/>
        </w:rPr>
        <w:t>в составе геодезической разбивочной основы: строительную сетку,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 оформленный акт приемки геодезической разбивочной основы для строительства;</w:t>
      </w:r>
      <w:r>
        <w:br/>
      </w:r>
      <w:r>
        <w:rPr>
          <w:rFonts w:ascii="Times New Roman"/>
          <w:b w:val="false"/>
          <w:i w:val="false"/>
          <w:color w:val="000000"/>
          <w:sz w:val="28"/>
        </w:rPr>
        <w:t>
      </w:t>
      </w:r>
      <w:r>
        <w:rPr>
          <w:rFonts w:ascii="Times New Roman"/>
          <w:b w:val="false"/>
          <w:i w:val="false"/>
          <w:color w:val="000000"/>
          <w:sz w:val="28"/>
        </w:rPr>
        <w:t>разработанную и утвержденную проектно-сметную документацию, если иное не предусмотрено договором, материалы инженерных изысканий и другие документы, необходимые для строительства, регламентированные нормативными техническими документами по организации строительного производства.</w:t>
      </w:r>
      <w:r>
        <w:br/>
      </w:r>
      <w:r>
        <w:rPr>
          <w:rFonts w:ascii="Times New Roman"/>
          <w:b w:val="false"/>
          <w:i w:val="false"/>
          <w:color w:val="000000"/>
          <w:sz w:val="28"/>
        </w:rPr>
        <w:t>
      </w:t>
      </w:r>
      <w:r>
        <w:rPr>
          <w:rFonts w:ascii="Times New Roman"/>
          <w:b w:val="false"/>
          <w:i w:val="false"/>
          <w:color w:val="000000"/>
          <w:sz w:val="28"/>
        </w:rPr>
        <w:t xml:space="preserve">При этом, подрядчиком своими силами либо с привлечением специализированной организации разрабатывается проект производства работ (далее - ППР). Состав основных документов, разрабатываемых в проекте производства работ (ППР)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ППР разрабатывается на строительство объекта в целом, и состоит из проектов выполнения отдельных видов работ;</w:t>
      </w:r>
      <w:r>
        <w:br/>
      </w:r>
      <w:r>
        <w:rPr>
          <w:rFonts w:ascii="Times New Roman"/>
          <w:b w:val="false"/>
          <w:i w:val="false"/>
          <w:color w:val="000000"/>
          <w:sz w:val="28"/>
        </w:rPr>
        <w:t>
      </w:t>
      </w:r>
      <w:r>
        <w:rPr>
          <w:rFonts w:ascii="Times New Roman"/>
          <w:b w:val="false"/>
          <w:i w:val="false"/>
          <w:color w:val="000000"/>
          <w:sz w:val="28"/>
        </w:rPr>
        <w:t>8) обеспечивает публикацию на официальном интернет-ресурсе утвержденной сводной ведомости потребности основных строительных материалов, оборудования, изделий и конструкций, предусмотренных проектной (проектно-сметной) документацией, после получения положительного заключения комплексной вневедомственной экспертизы по проектам, реализуемым за счет государственных инвестиций в строительство в рамках государственных и правительственных программ;</w:t>
      </w:r>
      <w:r>
        <w:br/>
      </w:r>
      <w:r>
        <w:rPr>
          <w:rFonts w:ascii="Times New Roman"/>
          <w:b w:val="false"/>
          <w:i w:val="false"/>
          <w:color w:val="000000"/>
          <w:sz w:val="28"/>
        </w:rPr>
        <w:t>
      </w:t>
      </w:r>
      <w:r>
        <w:rPr>
          <w:rFonts w:ascii="Times New Roman"/>
          <w:b w:val="false"/>
          <w:i w:val="false"/>
          <w:color w:val="000000"/>
          <w:sz w:val="28"/>
        </w:rPr>
        <w:t>9) осуществляет контроль за общим ведением строительства, а взаимоотношения с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10) в случаях и в порядке, предусмотренных договором передает подрядчику в пользование необходимые для осуществления работ здания и сооружения;</w:t>
      </w:r>
      <w:r>
        <w:br/>
      </w:r>
      <w:r>
        <w:rPr>
          <w:rFonts w:ascii="Times New Roman"/>
          <w:b w:val="false"/>
          <w:i w:val="false"/>
          <w:color w:val="000000"/>
          <w:sz w:val="28"/>
        </w:rPr>
        <w:t>
      </w:t>
      </w:r>
      <w:r>
        <w:rPr>
          <w:rFonts w:ascii="Times New Roman"/>
          <w:b w:val="false"/>
          <w:i w:val="false"/>
          <w:color w:val="000000"/>
          <w:sz w:val="28"/>
        </w:rPr>
        <w:t>11) регулирует с участниками строительства разногласия, возникающие в ходе заключения и исполнения договоров строительного подряда;</w:t>
      </w:r>
      <w:r>
        <w:br/>
      </w:r>
      <w:r>
        <w:rPr>
          <w:rFonts w:ascii="Times New Roman"/>
          <w:b w:val="false"/>
          <w:i w:val="false"/>
          <w:color w:val="000000"/>
          <w:sz w:val="28"/>
        </w:rPr>
        <w:t>
      </w:t>
      </w:r>
      <w:r>
        <w:rPr>
          <w:rFonts w:ascii="Times New Roman"/>
          <w:b w:val="false"/>
          <w:i w:val="false"/>
          <w:color w:val="000000"/>
          <w:sz w:val="28"/>
        </w:rPr>
        <w:t>12) посещает строящийся объект, знакомится с необходимой исполнительной технической документацией;</w:t>
      </w:r>
      <w:r>
        <w:br/>
      </w:r>
      <w:r>
        <w:rPr>
          <w:rFonts w:ascii="Times New Roman"/>
          <w:b w:val="false"/>
          <w:i w:val="false"/>
          <w:color w:val="000000"/>
          <w:sz w:val="28"/>
        </w:rPr>
        <w:t>
      </w:t>
      </w:r>
      <w:r>
        <w:rPr>
          <w:rFonts w:ascii="Times New Roman"/>
          <w:b w:val="false"/>
          <w:i w:val="false"/>
          <w:color w:val="000000"/>
          <w:sz w:val="28"/>
        </w:rPr>
        <w:t>13) посредством организации авторского и технического надзора контролирует качество и безопасность выполняемых видов работ, которые должны отвечать требованиям, установленным в государственных нормативах, проектно-сметной документации, а также соответствовать условиям договора;</w:t>
      </w:r>
      <w:r>
        <w:br/>
      </w:r>
      <w:r>
        <w:rPr>
          <w:rFonts w:ascii="Times New Roman"/>
          <w:b w:val="false"/>
          <w:i w:val="false"/>
          <w:color w:val="000000"/>
          <w:sz w:val="28"/>
        </w:rPr>
        <w:t>
      </w:t>
      </w:r>
      <w:r>
        <w:rPr>
          <w:rFonts w:ascii="Times New Roman"/>
          <w:b w:val="false"/>
          <w:i w:val="false"/>
          <w:color w:val="000000"/>
          <w:sz w:val="28"/>
        </w:rPr>
        <w:t>14) требует исполнения подрядчиком указаний авторского и технического надзора, и принимает меры к подрядчику за неисполнение либо несвоевременное и некачественное их исполнение;</w:t>
      </w:r>
      <w:r>
        <w:br/>
      </w:r>
      <w:r>
        <w:rPr>
          <w:rFonts w:ascii="Times New Roman"/>
          <w:b w:val="false"/>
          <w:i w:val="false"/>
          <w:color w:val="000000"/>
          <w:sz w:val="28"/>
        </w:rPr>
        <w:t>
      </w:t>
      </w:r>
      <w:r>
        <w:rPr>
          <w:rFonts w:ascii="Times New Roman"/>
          <w:b w:val="false"/>
          <w:i w:val="false"/>
          <w:color w:val="000000"/>
          <w:sz w:val="28"/>
        </w:rPr>
        <w:t>15) обеспечивает исполнение предписаний органов государственного архитектурно-строительного контроля и надзора;</w:t>
      </w:r>
      <w:r>
        <w:br/>
      </w:r>
      <w:r>
        <w:rPr>
          <w:rFonts w:ascii="Times New Roman"/>
          <w:b w:val="false"/>
          <w:i w:val="false"/>
          <w:color w:val="000000"/>
          <w:sz w:val="28"/>
        </w:rPr>
        <w:t>
      </w:t>
      </w:r>
      <w:r>
        <w:rPr>
          <w:rFonts w:ascii="Times New Roman"/>
          <w:b w:val="false"/>
          <w:i w:val="false"/>
          <w:color w:val="000000"/>
          <w:sz w:val="28"/>
        </w:rPr>
        <w:t>16) приостанавливает производство работ при осуществлении их с отступлением от проектной (проектно-сметной) документации и нормативных требований, а также от условий заключенного договора строительного подряда;</w:t>
      </w:r>
      <w:r>
        <w:br/>
      </w:r>
      <w:r>
        <w:rPr>
          <w:rFonts w:ascii="Times New Roman"/>
          <w:b w:val="false"/>
          <w:i w:val="false"/>
          <w:color w:val="000000"/>
          <w:sz w:val="28"/>
        </w:rPr>
        <w:t>
      </w:t>
      </w:r>
      <w:r>
        <w:rPr>
          <w:rFonts w:ascii="Times New Roman"/>
          <w:b w:val="false"/>
          <w:i w:val="false"/>
          <w:color w:val="000000"/>
          <w:sz w:val="28"/>
        </w:rPr>
        <w:t>17) требует от подрядчика исполнения условий договора строительного подряда и безвозмездного устранения допущенных дефектов и отступлений от проектной (проектно-сметной) документации при выполнении строительных работ;</w:t>
      </w:r>
      <w:r>
        <w:br/>
      </w:r>
      <w:r>
        <w:rPr>
          <w:rFonts w:ascii="Times New Roman"/>
          <w:b w:val="false"/>
          <w:i w:val="false"/>
          <w:color w:val="000000"/>
          <w:sz w:val="28"/>
        </w:rPr>
        <w:t>
      </w:t>
      </w:r>
      <w:r>
        <w:rPr>
          <w:rFonts w:ascii="Times New Roman"/>
          <w:b w:val="false"/>
          <w:i w:val="false"/>
          <w:color w:val="000000"/>
          <w:sz w:val="28"/>
        </w:rPr>
        <w:t>18) рассматривает предложения и по согласованию с разработчиком проектно-сметной документации принимает решения по внесению изменений в утвержденную проектно-сметную документацию непринципиального характера, не влияющих на конструктивную схему объекта, на его объемно-планировочные, инженерно-технические или технологические проектные решения, а также на иные объективные факторы, затрагивающие стоимостные и другие утвержденные технико-экономические показатели, с последующим оформлением и сдачей на хранение;</w:t>
      </w:r>
      <w:r>
        <w:br/>
      </w:r>
      <w:r>
        <w:rPr>
          <w:rFonts w:ascii="Times New Roman"/>
          <w:b w:val="false"/>
          <w:i w:val="false"/>
          <w:color w:val="000000"/>
          <w:sz w:val="28"/>
        </w:rPr>
        <w:t>
      </w:t>
      </w:r>
      <w:r>
        <w:rPr>
          <w:rFonts w:ascii="Times New Roman"/>
          <w:b w:val="false"/>
          <w:i w:val="false"/>
          <w:color w:val="000000"/>
          <w:sz w:val="28"/>
        </w:rPr>
        <w:t>19) принимает меры по взысканию у подрядчика неустойки (штрафа, пени) за невыполнение или ненадлежащее выполнение договорных обязательств.".</w:t>
      </w:r>
      <w:r>
        <w:br/>
      </w:r>
      <w:r>
        <w:rPr>
          <w:rFonts w:ascii="Times New Roman"/>
          <w:b w:val="false"/>
          <w:i w:val="false"/>
          <w:color w:val="000000"/>
          <w:sz w:val="28"/>
        </w:rPr>
        <w:t>
      </w:t>
      </w:r>
      <w:r>
        <w:rPr>
          <w:rFonts w:ascii="Times New Roman"/>
          <w:b w:val="false"/>
          <w:i w:val="false"/>
          <w:color w:val="000000"/>
          <w:sz w:val="28"/>
        </w:rPr>
        <w:t>2. Комитету по делам строительства и жилищно-коммунального хозяйства Министерства по инвестициям и развитию Республики Казахстан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r>
        <w:br/>
      </w:r>
      <w:r>
        <w:rPr>
          <w:rFonts w:ascii="Times New Roman"/>
          <w:b w:val="false"/>
          <w:i w:val="false"/>
          <w:color w:val="000000"/>
          <w:sz w:val="28"/>
        </w:rPr>
        <w:t>
      </w:t>
      </w:r>
      <w:r>
        <w:rPr>
          <w:rFonts w:ascii="Times New Roman"/>
          <w:b w:val="false"/>
          <w:i w:val="false"/>
          <w:color w:val="000000"/>
          <w:sz w:val="28"/>
        </w:rPr>
        <w:t>4) размещение настоящего приказа на интернет-ресурсе Министерства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2017 года № 255</w:t>
            </w:r>
          </w:p>
        </w:tc>
      </w:tr>
    </w:tbl>
    <w:bookmarkStart w:name="z75" w:id="0"/>
    <w:p>
      <w:pPr>
        <w:spacing w:after="0"/>
        <w:ind w:left="0"/>
        <w:jc w:val="left"/>
      </w:pPr>
      <w:r>
        <w:rPr>
          <w:rFonts w:ascii="Times New Roman"/>
          <w:b/>
          <w:i w:val="false"/>
          <w:color w:val="000000"/>
        </w:rPr>
        <w:t xml:space="preserve"> Форма 5. Учетный лист журнала технического надзора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Учетный лист № 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6429"/>
        <w:gridCol w:w="1588"/>
        <w:gridCol w:w="1375"/>
        <w:gridCol w:w="791"/>
        <w:gridCol w:w="777"/>
        <w:gridCol w:w="447"/>
        <w:gridCol w:w="447"/>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w:t>
            </w:r>
            <w:r>
              <w:br/>
            </w:r>
            <w:r>
              <w:rPr>
                <w:rFonts w:ascii="Times New Roman"/>
                <w:b w:val="false"/>
                <w:i w:val="false"/>
                <w:color w:val="000000"/>
                <w:sz w:val="20"/>
              </w:rPr>
              <w:t>
</w:t>
            </w:r>
          </w:p>
        </w:tc>
        <w:tc>
          <w:tcPr>
            <w:tcW w:w="6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Выявленные отступления от проекта, технологии производства (качества) работ и нарушения требований и правил государственных нормативов в области строительства, с указанием об их устранении, требуемые сроки их устранения, факты замены строительных материалов, изделии, конструкции, оборудовании, не предусмотренных в </w:t>
            </w:r>
            <w:r>
              <w:rPr>
                <w:rFonts w:ascii="Times New Roman"/>
                <w:b/>
                <w:i w:val="false"/>
                <w:color w:val="000000"/>
                <w:sz w:val="20"/>
              </w:rPr>
              <w:t>утвержденной проектно-сметной документации</w:t>
            </w: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 инициалы представителя технического надзора, внесшего запись, дата внесения записи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 инициалы (при его наличии) и должность лица ознакомившегося с записью, дата ознакомления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Отметки о выполнении указаний (фамилия инициалы, должность, дата)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подрядчика (субподрядчика)</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заказчика</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подрядчика (субподрядчика)</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заказчика</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технического надзора</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