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02b" w14:textId="f7d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июня 2017 года № 383. Зарегистрирован в Министерстве юстиции Республики Казахстан 26 июля 2017 года № 15369.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(зарегистрированный в Реестре государственной регистрации нормативных правовых актов за № 6472, опубликованный 9 октября 2010 года в газете "Казахстанская правда" № 267-268 (26328-26329)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2010 года № 362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постов транспортного контроля на территории Республики Казахстан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постов транспортного контроля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осуществления контроля за проездом транспортных средств по территории Республики Казахстан, по автомобильным дорогам общего пользования, автомобильным дорогам в пределах границ городов или иных населенных пунктов, на постах транспортного контроля территориальных органов Комитета транспорта Министерства по инвестициям и развитию Республики Казахстан (далее – Комитет), а также через специальные автоматизированные измерительные средства.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поста транспортного контроля территориальных органов Комитета является обеспечение соблюдения требований законодательства Республики Казахстан об автомобильном транспорте, международных договоров, ратифицированных Республикой Казахстан, сохранности автомобильных дорог, дорожных сооружений и безопасного проезда по ним.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сотрудников поста транспортного контроля территориальных органов Комитета, связанная с проведением государственного контроля за проездом транспортных средств по территории Республики Казахстан, регламентируется международными договорами в сфере автомобильных перевозок, транспортным и налоговым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(далее – КоАП),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утвержденных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законами Республики Казахстан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>, нормативными правовыми актами Министерства по инвестициям и развитию Республики Казахстан, а также настоящими Правилами.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 и термины, применяемые в Правилах: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транспортных средств;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передвижной пост транспортного контроля – пост транспортного контроля, организованный на базе специального автотранспорта, который оснащен техническими средствами контроля, связью и оборудованием;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 транспортного контроля (далее – ПТК) –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весовых и габаритных параметров транспортного средства – процесс определения габаритных параметров и общей массы и нагрузок на оси транспортных средств посредством измерительного инструмента и габаритных рамок, а также весоизмерительного оборудования стационарного типа или переносных мобильных весов, прошедших метрологическую поверку и имеющих соответствующий сертификат;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смена поста транспортного контроля – смена, состоящая из двух или трех сотрудников территориальных органов транспортного контроля, назначенная согласно утвержденному графику, для несения службы на стационарных и передвижных постах транспортного контроля;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аппаратура спутниковой навигации – аппаратно-программное устройство, устанавливаемое на транспортное средство для определения его текущего местоположения, направления и скорости движения по сигналам не менее двух действующих глобальных навигационных спутниковых систем, обмена данными с дополнительным бортовым оборудованием, а также для обмена информацией по сетям подвижной радиотелефонной связи;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стационарный пост транспортного контроля – пост транспортного контроля, оборудованный капитальным зданием и оснащенный техническими средствами контроля, связью и оборудованием;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телевизионная система видеонаблюдения –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постов транспортного контроля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Стационарные ПТК располагаются в зонах грузообразующих точек, пересечений автомагистралей и на основных международных транспортных коридорах.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стационарных ПТК утвержден постановлением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передвижных ПТК по осуществлению транспортного контроля на территории Республики Казахстан утверждается приказом Председателя Комитета.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Штатная численность и сменность работы ПТК устанавливается руководителем Инспекции транспортного контроля Комитета (далее – Инспекция), согласно выделенным ассигнованиям и штатной численности отдела контроля на автомобильном транспорте Инспекции.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ПТК определяется графиком, в котором указываются дни и часы (смены) несения контроля сотрудниками ПТК, а также отведенное им время для отдыха и приема пищи.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передвижного ПТК определяется с учетом интенсивности движения транспортных средств в различные часы суток и времени года, режима работы субъектов, осуществляющих деятельность на автомобильном транспорте, которые обуславливают эпизодическое суточное или сезонное увеличение потоков транспортных средств.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Стационарные ПТК оснащаются необходимым для работы оборудованием и имуществом в соответствии с Перечнем оборудования и имущества стационарного поста транспортного контроля согласно приложению 1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Передвижные ПТК оснащаются необходимым для работы оборудованием и имуществом в соответствии с Перечнем оборудования и имущества передвижного поста транспортного контроля согласно приложению 2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работы ПТК разрабатывается в соответствии с Трудовым кодексом Республики Казахстан и утверждается руководителем Инспекции, либо лицом, его замещающим.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ПТК работает круглосуточно.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каждую смену передвижного ПТК составляется карточка маршрута согласно приложению 3 к настоящим Правилам.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передвижного ПТК составляется руководителем отдела контроля на автомобильном транспорте Инспекции, либо лицом, его замещающим в двух экземплярах, один из которых хранится в Инспекции, другой передается смене передвижного ПТК.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маршрута хранятся в Инспекции до одного календарного года.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Передвижные ПТК могут быть задействованы для ликвидации чрезвычайной ситуации природного или техногенного характеров.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Спецавтотранспорт ПТК подлежит оборудованию специальными световыми и звуковыми сигналами и окраске по специальным цветографическим схемам и обозначается надписью "Жылжымалы көліктік бақылау бекеті – Передвижной пост транспортного контроля" и логотипом Комитета.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транспортного контроля на передвижных ПТК должны быть включены проблесковые маячки оранжевого или желтого цвета.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ПТК при осуществлении государственного контроля в сфере автомобильного транспорта должны быть в форменной одежде (без погон), иметь номерные нагрудные знаки и служебные удостоверения.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ПТК нахождение посторонних лиц не допускается.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транспортного контроля на постах транспортного контроля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транспортного контроля сотрудником ПТК обеспечивается в следующем порядке: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останавливает транспортное средство (грузовые автомобили, специализированные и специальные автомобили), путем подачи сигнала с помощью громкоговорящего устройства, жестом руки или жезлом, направленных на транспортное средство, с одновременным сигналом свистка, которые должны быть понятны водителю, и поданы своевременно с тем, чтобы их исполнение не создало аварийную обстановку;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причины остановки транспортного средства и предъявляет по требованию водителя, для ознакомления и установления фамилии и должности, служебное удостоверение без его передачи водителю;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или временное удостоверение, выданное взамен него, с документом, удостоверяющим личность водителя;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транспортного средства либо документ, свидетельствующий о праве собственности на транспортное средство;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путевой лист, документы на перевозимый груз и транспортное средство (товарно-транспортную накладную, сопроводительные и разрешительные документы);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сопроводительные и разрешительные документы сотруднику ПТК, находящемуся в помещении или в салоне спецавтотранспорта;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измерение фактических весовых и габаритных параметров транспортного средства на дорожном покрытии или на иной площадке, обеспечивающее равномерное расположение всех осей транспортного средства, с применением муляжей, по результатам которого для ознакомления перевозчика незамедлительно составляется акт взвешивания (замера) параметров автотранспортного средства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осуществления перевозок крупногабаритных и тяжеловесных грузов на территории Республики Казахстан, утвержденным приказом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 (далее – Акт). Копия Акта вручается по требованию перевозчика.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ПТК, находящийся в помещении или в салоне спецавтотранспорта: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документов для осуществления автомобильной перевозки груза и их соответствие требованиям законодательства Республики Казахстан в области автомобильного транспорта;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соответствующие сведения в информационно-аналитическую систему транспортной базы данных и мониторинга динамики безопасности перевозок;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соответствующие записи в учетных и регистрационных журналах по форме, согласно приложению 4 к настоящим Правилам;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несоответствии требованиям законодательства Республики Казахстан в области автомобильного транспорта, указывающим на признаки административного правонарушения, возбуждает дело об административном правонарушении в порядке и в сроки, с принятием мер обеспечения производства по делу об административном 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транспортного контроля сотрудники ПТК обеспечивают соблюдение физическими и юридическими лицами: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требований законодательства Республики Казахстан в области автомобильного транспорта, в том числе: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(зарегистрированный в Реестре государственной регистрации нормативных правовых актов за № 7204);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(зарегистрированный в Реестре государственной регистрации нормативных правовых актов за № 11395);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РК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(зарегистрированный в Реестре государственной регистрации нормативных правовых актов за № 11704);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(зарегистрированный в Реестре государственной регистрации нормативных правовых актов за № 12463);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к подвижному составу, выполняющему перевозки скоропортящихся грузов в международном сообщении,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 от 21 ноября 1976 года (Женева 1 сентября 1970 года);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налогового законодательства Республики Казахстан в части оплаты сбора за проезд автотранспортных средств по территории Республики Казахстан;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Основными действиями в ходе транспортного контроля являются проверки на наличие: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допуске водителя к перевозке опасного груза класса 1, 6 и 7;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специальных разрешений на проезд крупногабаритных и тяжеловесных транспортных средств;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специальных разрешений на перевозку опасного груза классов 1, 6 и 7;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разрешительных документов на проезд транспортных средств по территории Республики Казахстан;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иностранного перевозчика уведомления, выданного органом транспортного (автомобильного) контроля государства-члена Евразийского экономического союза, через территорию которого осуществлен проезд транспортного средства;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данных, указывающих на признаки административного правонарушения, по поступившим из Ситуационного центра сведениям.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сотрудниками ПТК проводится при осуществлении действий, определенных пунктами 16 и 17 настоящих Правил.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параметрами, установленными на территории Республики Казахстан, производится с использованием: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измерительного инструмента и габаритных рамок;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весоизмерительного оборудования стационарного типа или переносных мобильных весов;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специальных автоматизированных измерительных средств.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измерительного инструмента и габаритных рамок, весоизмерительного оборудования стационарного типа или переносных мобильных весов, а также специальных автоматизированных измерительных средств, не прошедших метрологическую поверку либо с истекшим сроком действия метрологической поверки, не допускается.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на весоизмерительном оборудовании стационарного типа и (или) переносных мобильных весах функции вывода текстовой информации на бумажный носитель, сотрудники ПТК убеждаются в точности установленной даты и времени на весоизмерительном оборудовании стационарного типа и (или) переносных мобильных весов, и вносят в него данные о государственном регистрационном номерном знаке проверяемого транспортного средства.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взвешивания транспортных средств, осуществляющих перевозку жидкого груза, фиксируются на весоизмерительном оборудовании стационарного типа и (или) переносных мобильных весах после обеспечения положения, исключающего сливы и (или) волны, образующиеся вследствие постановки колес транспортного средства на платформы весоизмерительного оборудования стационарного типа и (или) переносных мобильных весов.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Прохождение контроля оформляется путем проставления на предоставленных водителем сопроводительных и (или) разрешительных документах штампа ПТК в соответствии с образцом штампа согласно приложению 5 к настоящим Правилам.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Штамп о прохождении контроля ставится: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иностранных перевозчиков – нерезидентов Республики Казахстан на сопроводительных документах и на оборотной стороне разрешительных документов (при наличии);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отечественных перевозчиков – резидентов Республики Казахстан в путевом листе, либо на ином сопроводительном документе.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Контрольное взвешивание (замер) транспортного средства производится: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требованию перевозчика путем произведения им отметки в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несогласии с результатами определения весовых или габаритных параметров транспортного средства;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несоответствии весовых или габаритных параметров транспортного средства, указанных в специальном разрешении, международном сертификате взвешивания грузовых транспортных средств, товарно-транспортной накладной и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фиксации специальным автоматизированным измерительным средством превышения допустимых параметров транспортного средства.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подпунктом 1) настоящего пункта контрольное взвешивание (замер) транспортного средства производится в течение времени, необходимого для проверки фактических весовых или габаритных параметров и определения их величины над допустимыми параметрами, и не позднее трех часов с момента ознакомления с </w:t>
      </w:r>
      <w:r>
        <w:rPr>
          <w:rFonts w:ascii="Times New Roman"/>
          <w:b w:val="false"/>
          <w:i w:val="false"/>
          <w:color w:val="000000"/>
          <w:sz w:val="28"/>
        </w:rPr>
        <w:t>Актом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Контрольное взвешивание транспортного средства производится на сертифицированном весоизмерительном оборудовании стационарного типа и (или) переносных мобильных весах, определяющих общую массу и осевые нагрузки транспортного средства.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взвешивание (замер) транспортного средства на ПТК производится при нахождении транспортного средства в зоне видимости камер видеонаблюдения ПТК.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произведении контрольного взвешивания (замера) транспортного средства сотрудниками ПТК ведется аудиовидеозапись, которая хранится в Инспекции не менее трех лет.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Аудиовидеозапись производится с момента начала произведения контрольного взвешивания (замера) транспортного средства и ведется непрерывно до его завершения. При этом в процессе включения средства аудиовидеозаписи сотрудник ПТК убеждается в точности установленного времени устройства.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контрольного взвешивания весовых параметров транспортного средства на переносных мобильных весах, аудиовидеозапись осуществляется путем фиксации общего вида транспортного средства, государственного регистрационного номерного знака, нахождения колес на платформах, а также цифровых данных осевых нагрузок, выведенных на каждую платформу переносных мобильных весов.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контрольного взвешивания весовых параметров транспортного средства на весоизмерительном оборудовании стационарного типа, аудиовидеозапись осуществляется путем фиксации общего вида транспортного средства, государственного регистрационного номерного знака, а также нахождения колес на платформах, при этом запись цифровых данных осевых нагрузок, отражаемых в здании стационарного ПТК, фиксируется дежурным Ситуационного центра посредством телевизионной системы видеонаблюдения.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контрольного измерения габаритных параметров транспортного средства аудиовидеозапись осуществляется путем фиксации общего вида транспортного средства, государственного регистрационного номерного знака, а также процесса измерения габаритных параметров с применением измерительного инструмента и габаритных рамок.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возникновении фактов несоблюдения требований по произведению взвешивания (замера) транспортного средства, дежурный Ситуационного центра дает указания о необходимости произведения взвешивания (замера) параметров транспортного средства заново.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исключением случаев, предусмотренных пунктом 24 настоящих Правил, измерение весовых и габаритных параметров транспортных средств другим ПТК не проводится, в случае предъявления перевозчиком сопроводительного или разрешительного документа, в котором проставлен штамп ПТК либо предъявления перевозчиком международного сертификата взвешивания грузовых транспортных средств.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Погрешность измерительного инструмента и габаритных рамок, весоизмерительного оборудования стационарного типа и переносных мобильных весов учитывается в пользу перевозчика.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пресечения административного правонарушения, установления личности, подозреваемого в его совершении, составления протокола об административном правонарушении, когда невозможно его составление на месте совершения административного правонарушения, обеспечения своевременного и правильного рассмотрения дела и исполнения принятого по делу постановления, сотрудник ПТК, в пределах своих полномочий, применяет меры обеспечения производства по делу об административном 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Транспортное средство задерживается, доставляется на специальные площадки, стоянки или площадки, прилегающие к стационарному посту транспортного контроля при совершении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Прием сотрудниками ПТК суммы сбора наличными деньгами производится на основании бланка строгой отчетности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февраля 2015 года № 98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 (зарегистрированный в Реестре государственной регистрации нормативных правовых актов за № 10480).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Сдача принятых сумм сбора наличными деньгами в банки и организации, осуществляющие отдельные виды банковских операций, осуществляется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103"/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постов транспортного контроля с Ситуационным центром Комитета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Сотрудники ПТК при осуществлении транспортного контроля информируют Ситуационный центр Комитета: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заступлением на дежурство о заступающих на дежурство сотрудниках с указанием должности, фамилии, имени, отчества (при его наличии) (далее – Ф.И.О.), состоянии оборудования, входящих в перечень оборудования и имущества ПТК, маршруте передвижения ПТК и текущей ситуации;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зарегистрированных и задержанных транспортных средствах;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смены маршрута передвижного ПТК с указанием планируемого места дислокации (с указанием направления автомобильной дороги, километра, наименования населенного пункта);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поломки двигателя внутреннего сгорания, трансмиссии, ходовой части и другого оборудования, приведшее в нерабочее состояние передвижной ПТК;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выхода из строя телевизионной системы видеонаблюдения;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неисправности весоизмерительного оборудования стационарного типа или переносных мобильных весов;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предусмотренных пунктами 24, 26 и 27 настоящих Правил;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возникновения внештатных ситуаций.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на ПТК при возникновении случаев, указанных в подпунктах 4) и 5) настоящего пункта, не допускается.</w:t>
      </w:r>
    </w:p>
    <w:bookmarkEnd w:id="114"/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Взаимоотношения с автомобильными перевозчиками и меры обеспечения личной безопасности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Взаимоотношения сотрудников ПТК с перевозчиками основываются на строгом соблюдении законности, четком исполнении своих должностных полномочий, сочетании твердости, решительности и принципиальности в предупреждении и пресечении правонарушений с внимательным, доброжелательным и уважительным отношением.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привлечении к административной ответственности за правонарушение,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, сотрудники ПТК разъясняют нарушителям их права: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знакомиться с материалами дела, давать объяснения, представлять доказательства, заявлять ходатайства;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рассмотрении дела пользоваться юридической помощью адвоката;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выступать на родном языке или языке, которым владеет, и пользоваться услугами переводчика, если не владеет языком, на котором ведется производство;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обжаловать постановление Инспекции и применение мер обеспечения производства по делу об административном правонарушении.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осуществлении контроля за проездом транспортных средств сотрудник ПТК соблюдает следующие основные меры личной безопасности: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служебных обязанностей выбирает место, чтобы быть отчетливо видным участникам дорожного движения и иметь возможность для своевременного пресечения правонарушения;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темное время суток и в условиях ограниченной видимости несет контроль на освещенных участках дорог, имеет светящийся жезл и световозвращающую форму;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избегает нахождения на скользких участках дорожного покрытия;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выбирает для остановки транспортного средства в темное время суток наиболее освещенный участок дороги, при невозможности – использует свет фар специального автотранспорта, либо специальных световых сигналов;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избегает проведения на проезжей части дороги разбора правонарушения, если это создает помехи для движения транспорта или угрозу личной безопасности.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стационарного поста транспортного контроля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Весоизмерительное оборудование стационарного типа или переносные мобильные весы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видеонаблюдения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Компьютер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Ксерокс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Средство связи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 измерения (габаритная рамка, рулетка)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Термометр (для контроля в летний период)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пожаротушения и оказания первой медицинской помощи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Сейф для хранения бланков строгой отчетности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Рабочие места для сотрудников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Спецавтотранспорт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Информационный стенд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Нормативно-техническая документация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Жезл для остановки транспортных средств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Средство аудиовидеозаписи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передвижного поста транспортного контроля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Переносные мобильные весы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Видеорегистратор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видеонаблюдения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Аппаратура спутниковой навигации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Компьютер или переносной ноутбук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Ксерокс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Средство мобильной связи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измерения (рулетка)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Термометр (для контроля в летний период)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пожаротушения и оказания первой медицинской помощи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Сейф для хранения бланков строгой отчетности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Нормативно-техническая документация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Жезл для остановки транспортных средств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Проблесковый маячок оранжевого или желтого цвета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Сигнальное громкоговорящее устройство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Средство аудиовидеозаписи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МАРШРУТА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передвижного поста транспортного контроля №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органа транспортного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Маршрут осуществления транспортного контроля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автодороги, с указанием километров)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проведения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(дата и время проведения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Протяженность, км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 смены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(Ф.И.О., должность)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4474"/>
        <w:gridCol w:w="2875"/>
        <w:gridCol w:w="367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3"/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контролируемог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участка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автодороги и км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смены ППТК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выдана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(Ф.И.О., должность)       (подпись)             (дата)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проезда отечественных автотранспортных средств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79"/>
        <w:gridCol w:w="869"/>
        <w:gridCol w:w="869"/>
        <w:gridCol w:w="679"/>
        <w:gridCol w:w="891"/>
        <w:gridCol w:w="761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66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ПТК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регистрации автотранспортного средства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регистрации автотранспортного средства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номер АТС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номер прицепа/полуприцепа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грузоперевозчика (страна, наименование юридического лица или Ф.И.О. физического лица, адрес, место жительства, место регистрации в налоговых органах, ИИН, БИН, телефон), Ф.И.О. водителя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3777"/>
        <w:gridCol w:w="1602"/>
        <w:gridCol w:w="674"/>
        <w:gridCol w:w="998"/>
        <w:gridCol w:w="675"/>
        <w:gridCol w:w="676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грузоотправителя (страна, наименование юридического лица и Ф.И.О. физического лица, адрес, место жительства, место регистрации в налоговых органах, ИИН, БИН)</w:t>
            </w:r>
          </w:p>
          <w:bookmarkEnd w:id="168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грузополучателя (страна, наименование юридического и Ф.И.О. физического лица, адрес, место жительства, место регистрации в налоговых органах, ИИН, БИН)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 следования пункты погрузки и выгрузки (с указанием наименований государств)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груза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Масса груза (в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книжек МДП номер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книжек МДП дата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проезда иностранных автотранспортных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68"/>
        <w:gridCol w:w="371"/>
        <w:gridCol w:w="371"/>
        <w:gridCol w:w="371"/>
        <w:gridCol w:w="487"/>
        <w:gridCol w:w="3951"/>
        <w:gridCol w:w="3125"/>
        <w:gridCol w:w="371"/>
        <w:gridCol w:w="371"/>
        <w:gridCol w:w="371"/>
        <w:gridCol w:w="372"/>
        <w:gridCol w:w="372"/>
        <w:gridCol w:w="372"/>
        <w:gridCol w:w="372"/>
        <w:gridCol w:w="372"/>
      </w:tblGrid>
      <w:tr>
        <w:trPr/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69"/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ПТК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регистрации АТС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регистрации АТС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номер АТС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ударственный номер прицепа/полуприцепа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грузоперевозчика (страна, наименование юридического лица или Ф.И.О. физического лица, адрес, место жительства, место регистрации в налоговых органах, БИН, телефон), Ф.И.О. водителя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грузоотправителя (страна, наименование юридического лица и Ф.И.О. физического лица, адрес, место жительства, место регистрации в налоговых органах, 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8"/>
        <w:gridCol w:w="700"/>
        <w:gridCol w:w="2166"/>
        <w:gridCol w:w="954"/>
        <w:gridCol w:w="910"/>
        <w:gridCol w:w="1162"/>
        <w:gridCol w:w="954"/>
        <w:gridCol w:w="954"/>
        <w:gridCol w:w="702"/>
      </w:tblGrid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грузополучателя (страна, наименование юридического лица и Ф.И.О. физического лица, адрес, место жительства, место регистрации в налоговых органах, БИН)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регистрации АТС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 следования, адрес места погрузки и разгрузки (страна, населенный пункт, улица)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 пропуска въезда, пункт пропуска выезда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груза (вид груза)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 груза, вес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казахстанского разрешения выданного по квоте обмена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книжек МДП номер и дата выдачи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ПТК – пост транспортного контроля;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– автотранспортное средство;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– фамилия, имя, отчество (при его наличии); 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– индивидуальный идентификационный номер; 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тн. – тонна; 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книжка МДП – книжка международных дорожных перевозок.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штампа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    Оформление прохождения контроля транспортным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средством осуществляется проставлением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    штампа нижеприведенного образца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или № поста транспортного контроля)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ПРОЙДЕН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Ф.И.О. 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___" _________ 20__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</w:tr>
    </w:tbl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изготавливается в виде прямоугольника размером 50 x 30 мм синего цвета.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