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5d56" w14:textId="cde5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12 августа 2017 года № 300. Зарегистрирован в Министерстве юстиции Республики Казахстан 17 августа 2017 года № 15504. Утратил силу приказом и.о. Министра национальной экономики Республики Казахстан от 16 февраля 2018 года № 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 (зарегистрирован в Реестре государственной регистрации нормативных правовых актов за № 5727, опубликован в 2009 году в Собрании актов центральных исполнительных и иных центральных государственных органов Республики Казахстан № 8) следующие изменения:</w:t>
      </w:r>
    </w:p>
    <w:bookmarkEnd w:id="1"/>
    <w:bookmarkStart w:name="z6" w:id="2"/>
    <w:p>
      <w:pPr>
        <w:spacing w:after="0"/>
        <w:ind w:left="0"/>
        <w:jc w:val="both"/>
      </w:pPr>
      <w:r>
        <w:rPr>
          <w:rFonts w:ascii="Times New Roman"/>
          <w:b w:val="false"/>
          <w:i w:val="false"/>
          <w:color w:val="000000"/>
          <w:sz w:val="28"/>
        </w:rPr>
        <w:t xml:space="preserve">
      в заголовок и в </w:t>
      </w:r>
      <w:r>
        <w:rPr>
          <w:rFonts w:ascii="Times New Roman"/>
          <w:b w:val="false"/>
          <w:i w:val="false"/>
          <w:color w:val="000000"/>
          <w:sz w:val="28"/>
        </w:rPr>
        <w:t>пункт 1</w:t>
      </w:r>
      <w:r>
        <w:rPr>
          <w:rFonts w:ascii="Times New Roman"/>
          <w:b w:val="false"/>
          <w:i w:val="false"/>
          <w:color w:val="000000"/>
          <w:sz w:val="28"/>
        </w:rPr>
        <w:t xml:space="preserve"> приказа вносятся изменения на государственном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"16.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Администратором бюджетной программы представляются расчеты и обоснования по ставке доходности, позволяющей реализовать проект, и величинам параметров, закладываемых в маржу заемщиков.</w:t>
      </w:r>
    </w:p>
    <w:bookmarkEnd w:id="3"/>
    <w:bookmarkStart w:name="z9" w:id="4"/>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bookmarkEnd w:id="4"/>
    <w:bookmarkStart w:name="z10" w:id="5"/>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превышает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5"/>
    <w:bookmarkStart w:name="z11" w:id="6"/>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за исключением финансовых агентств, осуществляющих деятельность по предоставлению вкладчикам промежуточных жилищных займов и предварительных жилищных займов на проведение мероприятий по улучшению жилищных условий, определяется расчетным путем, исходя из величины закладываемых операционных расходов, и составляет от 0% до 1,5% от суммы бюджетного кредита ежегодно. При этом, в составе маржи заемщика уровень административных расходов не превышает 1% от суммы бюджетного кредита ежегодно, оценка риска не превышает 1% от суммы бюджетного кредита ежегодно.</w:t>
      </w:r>
    </w:p>
    <w:bookmarkEnd w:id="6"/>
    <w:bookmarkStart w:name="z12" w:id="7"/>
    <w:p>
      <w:pPr>
        <w:spacing w:after="0"/>
        <w:ind w:left="0"/>
        <w:jc w:val="both"/>
      </w:pPr>
      <w:r>
        <w:rPr>
          <w:rFonts w:ascii="Times New Roman"/>
          <w:b w:val="false"/>
          <w:i w:val="false"/>
          <w:color w:val="000000"/>
          <w:sz w:val="28"/>
        </w:rPr>
        <w:t>
      Размер ставки вознаграждения для конечного заемщика финансового агентства, осуществляющего деятельность по предоставлению промежуточных жилищных и предварительных жилищных займов на проведение мероприятий по улучшению жилищных условий не превышает 9,5 % годовых с учетом маржи.</w:t>
      </w:r>
    </w:p>
    <w:bookmarkEnd w:id="7"/>
    <w:bookmarkStart w:name="z13" w:id="8"/>
    <w:p>
      <w:pPr>
        <w:spacing w:after="0"/>
        <w:ind w:left="0"/>
        <w:jc w:val="both"/>
      </w:pPr>
      <w:r>
        <w:rPr>
          <w:rFonts w:ascii="Times New Roman"/>
          <w:b w:val="false"/>
          <w:i w:val="false"/>
          <w:color w:val="000000"/>
          <w:sz w:val="28"/>
        </w:rPr>
        <w:t>
      Данные величины рассчитываются на основании предоставленной информации в составе документации согласно пункту 14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"33.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соответствующей государственной или правительственной программы или изменений и дополнений в данную программу, предусматривающих мероприятия, планируемые к финансированию посредством бюджетного кредитования, на основании документации, предоставляемой администратором бюджетной программы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bookmarkEnd w:id="9"/>
    <w:bookmarkStart w:name="z16" w:id="10"/>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Министерства национальной экономики Республики Казахстан обеспечить в установленном законодательством порядке обеспечить:</w:t>
      </w:r>
    </w:p>
    <w:bookmarkEnd w:id="10"/>
    <w:bookmarkStart w:name="z17"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8"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9"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3"/>
    <w:bookmarkStart w:name="z20"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4"/>
    <w:bookmarkStart w:name="z21" w:id="1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15"/>
    <w:bookmarkStart w:name="z22" w:id="1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2017 года.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p>
    <w:bookmarkEnd w:id="17"/>
    <w:bookmarkStart w:name="z25" w:id="18"/>
    <w:p>
      <w:pPr>
        <w:spacing w:after="0"/>
        <w:ind w:left="0"/>
        <w:jc w:val="both"/>
      </w:pPr>
      <w:r>
        <w:rPr>
          <w:rFonts w:ascii="Times New Roman"/>
          <w:b w:val="false"/>
          <w:i w:val="false"/>
          <w:color w:val="000000"/>
          <w:sz w:val="28"/>
        </w:rPr>
        <w:t>
      " " 2017 года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