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e3a8" w14:textId="1f5e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4 июля 2017 года № 438. Зарегистрирован в Министерстве юстиции Республики Казахстан 25 августа 2017 года № 15559. Утратил силу приказом Министра индустрии и инфраструктурного развития Республики Казахстан от 4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(зарегистрированный в Реестре государственной регистрации нормативных правовых актов за № 11018, опубликованный 5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стандарт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 согласно приложению 2 к настоящему приказу;";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по инвестициям и развитию Республики Казахстан (далее – Министерство).";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портал: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– 15 (пятнадцать) минут;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(с историей) (при отсутствии архивных сведений об изменении адреса объекта недвижимости в информационной системе "Адресный регистр") – 3 (три) рабочих дня;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Государственную корпорацию: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– 15 (пятнадцать) минут;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(с историей) (при отсутствии архивных сведений об изменении адреса объекта недвижимости в информационной системе "Адресный регистр") – 3 (три) рабочих дня;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о присвоении адреса объекта недвижимости или выдача справки об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6 (шесть) рабочих дней либо мотивированный отказ – 2 (два) рабочих дня.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Результатом оказания государственной услуги является: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уточнении адреса объекта недвижимости, справка об уточнении адреса объекта недвижимости (с историей), справка о присвоению адреса объекта недвижимости, справка об упразднению адреса объекта недвижимости с указанием регистрационного кода адреса по форме, согласно приложению 1 к настоящему стандарту государственной услуги;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в случаях и по основаниям, предусмотренным пунктом 10 настоящего стандарта.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Основанием для отказа в оказании государственной услуги является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пунктом 10 Правил адресации объектов недвижимости на территории Республики Казахстан, утвержденных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22 декабря 2015 года № 783 и Министра по инвестициям и развитию Республики Казахстан от 28 декабря 2015 года № 1262 "Об утверждении Правил адресации объектов недвижимости на территории Республики Казахстан" (зарегистрированный в Реестре государственной регистрации нормативных правовых актов за № 12938).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настоящему стандарту государственной услуги.";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интернет-ресурсах: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Министерства: www.mid.gov.kz;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www.gov4с.kz.";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Контактные телефоны справочных служб услугодателя по вопросам оказания государственной услуги размещены на интернет – ресурсах Министерства: www.mid.gov.kz. Единый контакт-центр по вопросам оказания государственных услуг: 1414, 8 800 080 7777.";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утвержденном 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по инвестициям и развитию Республики Казахстан (далее – Министерство).";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 или в Государственной корпорацией – 15 (пятнадцать) рабочих дней.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– 5 (пять) рабочих дня.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– 15 (пятнадцать) минут, в Государственной корпорации – 20 минут.";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решение МИО на реконструкцию (перепланировку, переоборудование) либо мотивированный ответ об отказе в предоставлении государственной услуги в случаях и по основаниям, предусмотренным пунктом 10 настоящего стандарта.";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Основанием для отказа в оказании государственной услуги является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пунктом 53 Правил организации застройки и прохождения разрешительных процедур в сфере строительства,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750 "Об утверждении Правил организации застройки и прохождения разрешительных процедур в сфере строительства" (зарегистрированный в Реестре государственной регистрации нормативных правовых актов за № 12684).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интернет-ресурсах: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Министерства: www.mid.gov.kz;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www.gov4с.kz.";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Контактные телефоны справочных служб услугодателя по вопросам оказания государственной услуги размещены на интернет – ресурсах Министерства: www.mid.gov.kz. Единый контакт-центр по вопросам оказания государственных услуг: 1414, 8 800 080 7777.".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июля 2017 года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24 июля 2017 года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438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257</w:t>
            </w:r>
          </w:p>
        </w:tc>
      </w:tr>
    </w:tbl>
    <w:bookmarkStart w:name="z7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57"/>
    <w:bookmarkStart w:name="z7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исходных материалов при разработке проектов строительства и реконструкции (перепланировки и переоборудования)" (далее – государственная услуга).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 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www.egov.kz(далее – портал).</w:t>
      </w:r>
    </w:p>
    <w:bookmarkEnd w:id="65"/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рассмотрения заявления на проектирование технически и (или) технологически несложных объектов: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(далее – ТУ) – 6 (шесть) рабочих дней;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ТУ, выкопировка из проекта детальной планировки (далее – ПДП), вертикальные планировочные отметки, поперечные профили дорог и улиц, схема трасс наружных инженерных сетей) – 15 (пятнадцать) рабочих дней.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сложных объектов: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– 15 (пятнадцать) рабочих дней;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ТУ, выкопировка из ПДП, вертикальные планировочные отметки, поперечные профили дорог и улиц, схема трасс наружных инженерных сетей) – 17 (семнадцать) рабочих дней.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– 15 (пятнадцати) рабочих дней со дня подачи заявления.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– 5 (пять) рабочих дней.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услуги;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 услугодателя – 15 минут, в Государственной корпорации – 15 минут;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30 минут, в Государственной корпорации – 20 минут.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архитектурно-планировочное задание по форме, согласно приложению 1 к настоящему стандарту государственной услуги;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трасс наружных инженерных сетей;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выкопировка из проекта детальной планировки;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планировочные отметки;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дорог и улиц;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МИО на реконструкцию (перепланировку, переоборудование);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в случаях и по основаниям, предусмотренным пунктом 10 настоящего стандарта.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физическими юридическим лицам (далее – услугополучатель).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с 9.00 часов до 17.30 часов с перерывом на обед с 13.00 часов до 14.30 часов. Прием осуществляется в порядке очереди, без предварительной записи и ускоренного обслуживания;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нахождения недвижимого имущества, в порядке "электронной" очереди, без ускоренного обслуживания. Возможно бронирование электронной очереди посредством портала;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 лица по документу, подтверждающему полномочия; 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по нотариально заверенной доверенности):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архитектурно-планировочного задания и ТУ: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предоставлении исходных материалов/архитектурно-планировочного задания и технических условий по форме, согласно приложению 2 к настоящему стандарту государственной услуги; 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задание на проектирование;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правоустанавливающего документа на земельный участок (в случае отсутствия регистрации в государственной базе данных "Регистр недвижимости");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опросный лист для технических условий на подключение к источникам инженерного и коммунального обеспечения по форме, согласно приложению 3 к настоящему стандарту государственной услуги;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 на новое строительство: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предоставлении исходных материалов/архитектурно-планировочного задания и технических условий по форме, согласно приложению 2 к настоящему стандарту государственной услуги; 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задание на проектирование;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правоустанавливающего документа на земельный участок (в случае отсутствия регистрации в государственной базе данных "Регистр недвижимости");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опросный лист для технических условий на подключение к источникам инженерного и коммунального обеспечения по форме, согласно приложению 3 к настоящему стандарту государственной услуги;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топографическая съемка;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 на реконструкцию (перепланировку, переоборудования) помещений (отдельных частей) существующих зданий и сооружений: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по форме, согласно приложению 4 к настоящему стандарту государственной услуги; 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удостоверяющий личность;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задание на проектирование;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документов, удостоверяющих право собственности заявителя на изменяемый объект, с представлением подлинников для сверки государственным органом, рассматривающим заявление, подлинности документов, либо его нотариально засвидетельствованная копия (в случае отсутствия регистрации в государственной базе данных "Регистр недвижимости");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собственника (сособственников) объекта на намечаемое изменение и его параметры;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нотариальное засвидетельствованное письменное согласие собственников других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технического паспорта изменяемого помещения (оригинал предоставляется для сверки);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проект;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опросный лист для технических условий на подключение к источникам инженерного и коммунального обеспечения по форме, согласно приложению 3 к настоящему стандарту государственной услуги и топографическая съемка (при необходимости в дополнительном подключении к источникам инженерного и коммунального обеспечения и/или увеличении нагрузок);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правоустанавливающих документов на земельный участок (если реконструкция предусматривает дополнительный отвод (прирезку) земельного участка) (оригинал предоставляется для сверки) (в случае отсутствия регистрации в государственной базе данных "Регистр недвижимости");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архитектурно-планировочного задания и ТУ: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предоставлении исходных материалов/архитектурно-планировочного задания и технических условий по форме, согласно приложению 2 к настоящему стандарту государственной услуги; 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задание на проектирование;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на земельный участок (в случае отсутствия регистрации в государственной базе данных "Регистр недвижимости");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опросный лист для технических условий на подключение к источникам инженерного и коммунального обеспечения по форме, согласно приложению 3 к настоящему стандарту государственной услуги;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 на новое строительство: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предоставлении исходных материалов/архитектурно-планировочного задания и технических условий по форме, согласно приложению 2 к настоящему стандарту государственной услуги; 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задание на проектирование;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на земельный участок (в случае отсутствия регистрации в государственной базе данных "Регистр недвижимости");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опросный лист для технических условий на подключение к источникам инженерного и коммунального обеспечения по форме, согласно приложению 3 к настоящему стандарту государственной услуги;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топографическая съемка;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 на реконструкцию (перепланировку, переоборудования) помещений (отдельных частей) существующих зданий и сооружений: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по форме, согласно приложению 4 к настоящему стандарту государственной услуги; 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 услугополучателя);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задание на проектирование;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удостоверяющее право собственности заявителя на изменяемый объект, с представлением подлинников для сверки государственным органом, рассматривающим заявление, подлинности документов, либо его нотариально засвидетельствованная копия (в случае отсутствия регистрации в государственной базе данных "Регистр недвижимости");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собственника (сособственников) объекта на намечаемое изменение и его параметры;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нотариальное засвидетельствованное письменное согласие собственников других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интересы;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изменяемого помещения (оригинал предоставляется для сверки);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проект;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опросный лист для технических условий на подключение к источникам инженерного и коммунального обеспечения по форме, согласно приложению 3 к настоящему стандарту государственной услуги и топографическая съемка (при необходимости в дополнительном подключении к источникам инженерного и коммунального обеспечения и/или увеличении нагрузок);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на земельный участок (если реконструкция предусматривает дополнительный отвод (прирезку) земельного участка) (оригинал предоставляется для сверки) (в случае отсутствия регистрации в государственной базе данных "Регистр недвижимости");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архитектурно-планировочного задания и ТУ: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предоставлении исходных материалов/архитектурно-планировочного задания и технических условий по форме, согласно приложению 2 к настоящему стандарту государственной услуги;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правоустанавливающего документа на земельный участок (в случае отсутствия регистрации в государственной базе данных "Регистр недвижимости");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задания на проектирование;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опросного листа для технических условий на подключение к источникам инженерного и коммунального обеспечения по форме, согласно приложению 3 к настоящему стандарту государственной услуги;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 на новое строительство: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предоставлении исходных материалов/архитектурно-планировочного задания и технических условий по форме, согласно приложению 2 к настоящему стандарту государственной услуги;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правоустанавливающего документа на земельный участок (в случае отсутствия регистрации в государственной базе данных "Регистр недвижимости");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опросного листа для технических условий на подключение к источникам инженерного и коммунального обеспечения по форме, согласно приложению 3 к настоящему стандарту государственной услуги;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топографической съемки;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 на реконструкцию (перепланировку, переоборудования) помещений (отдельных частей) существующих зданий и сооружений: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по форме, согласно приложению 4 к настоящему стандарту государственной услуги; 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утвержденного задания на проектирование;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удостоверяющих право собственности заявителя на изменяемый объект, с представлением подлинников для сверки государственным органом, рассматривающим заявление, подлинности документов, либо его нотариально засвидетельствованная копия (в случае отсутствия регистрации в государственной базе данных "Регистр недвижимости");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письменного согласия собственника (сособственников) объекта на намечаемое изменение и его параметры;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нотариального засвидетельствованного письменного согласия собственников других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интересы;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технического паспорта изменяемого помещения (оригинал предоставляется для сверки);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технического проекта;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опросного листа для технических условий на подключение к источникам инженерного и коммунального обеспечения по форме, согласно приложению 3 к настоящему стандарту государственной услуги и топографической съемки (при необходимости в дополнительном подключении к источникам инженерного и коммунального обеспечения и/или увеличении нагрузок);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правоустанавливающих документов на земельный участок (если реконструкция предусматривает дополнительный отвод (прирезку) земельного участка) (оригинал предоставляется для сверки) (в случае отсутствия регистрации в государственной базе данных "Регистр недвижимости").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регистрации в качестве индивидуального предпринимателя, справка о зарегистрированных правах (обременениях) на недвижимое имущество и его технических характеристиках,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или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является: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отметка на его копии о регистрации в канцелярии услугодателя с указанием даты и времени приема пакета документов;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Государственную корпорацию услугополучателю выдается расписка о приеме соответствующих документов предусмотренных настоящим пунктом.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документа, удостоверяющего личность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доверенности).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Основанием для отказа в оказании государственной услуги является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пунктами 33 и 53 Правил организации застройки и прохождения разрешительных процедур в сфере строительства,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750 "Об утверждении Правил организации застройки и прохождения разрешительных процедур в сфере строительства" (зарегистрированный в Реестре государственной регистрации нормативных правовых актов за № 12684).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приложению 5 к настоящему стандарту государственной услуги.</w:t>
      </w:r>
    </w:p>
    <w:bookmarkEnd w:id="183"/>
    <w:bookmarkStart w:name="z20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действия (бездействия) работника услугодателя или Государственной корпорации направляется к руководителю услугодателя или Государственной корпорацией по адресам и телефонам, указанным в пункте 13 настоящего стандарта государственной услуги.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91"/>
    <w:bookmarkStart w:name="z21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Министерства:www.mid.gov.kz;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корпорации:www.gov4с.kz.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Контактный телефон справочной службы услугодателя по вопросам оказания государственной услуги размещены на интернет – ресурсах Министерства: www.mid.gov.kz. Единый контакт-центр по вопросам оказания государственных услуг: 1414, 8 800 080 7777.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исходных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при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(перепланировки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переоборудования)"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Республика Казахстан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 архитектуры и градостроительства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значения, столицы, городов областного значения, районов)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(местонахождение, электронный адрес, тел.)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Утверждаю: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Главный архитектор (города,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Фамилия,имя,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(далее – ФИО)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Архитектурно – планировочное задание (далее – АПЗ)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 проектирование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20____жылғы "____" __________№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№_______ от "____"_____________20____ года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(застройщик, инвестор): ___________________________________________________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Город (населенный пункт),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1"/>
        <w:gridCol w:w="8519"/>
      </w:tblGrid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 для разработки архитектурно-планировочного задания (АПЗ)</w:t>
            </w:r>
          </w:p>
          <w:bookmarkEnd w:id="209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Постановление акимата города (района) или правоустанавливающий документ №_______ от_________ (число,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Характеристика участка</w:t>
            </w:r>
          </w:p>
          <w:bookmarkEnd w:id="210"/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Местонахождение участка</w:t>
            </w:r>
          </w:p>
          <w:bookmarkEnd w:id="211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район, микрорайон, аул, квартал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застройки (строения и сооружения, существующие на участке, в том числе коммуникации, инженерные сооружения, элементы благоустройства и другие)</w:t>
            </w:r>
          </w:p>
          <w:bookmarkEnd w:id="212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Геодезическая изученность (наличие съемок, их масштабы)</w:t>
            </w:r>
          </w:p>
          <w:bookmarkEnd w:id="213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Инженерно-геологическая изученность (имеющиеся материалы инженерно-геологических, гидрогеологических, почвенно-ботанических и других изысканий)</w:t>
            </w:r>
          </w:p>
          <w:bookmarkEnd w:id="214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Характеристика проектируемого объекта</w:t>
            </w:r>
          </w:p>
          <w:bookmarkEnd w:id="215"/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Функциональное значение объекта</w:t>
            </w:r>
          </w:p>
          <w:bookmarkEnd w:id="216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Этажность</w:t>
            </w:r>
          </w:p>
          <w:bookmarkEnd w:id="217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Планировочная система</w:t>
            </w:r>
          </w:p>
          <w:bookmarkEnd w:id="218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 с учетом функционального назначения объекта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Конструктивная схема</w:t>
            </w:r>
          </w:p>
          <w:bookmarkEnd w:id="219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Инженерное обеспечение</w:t>
            </w:r>
          </w:p>
          <w:bookmarkEnd w:id="220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Класс энергоэффективности</w:t>
            </w:r>
          </w:p>
          <w:bookmarkEnd w:id="221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Градостроительные требования</w:t>
            </w:r>
          </w:p>
          <w:bookmarkEnd w:id="222"/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Объемно-пространственное решение</w:t>
            </w:r>
          </w:p>
          <w:bookmarkEnd w:id="223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Увязать со смежными по участку объектами.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 генерального плана</w:t>
            </w:r>
          </w:p>
          <w:bookmarkEnd w:id="224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ПДП, вертикальных планировочных отметок прилегающих улиц, требованиям строительных нормативных документов Республики Казахстан.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 вертикальная планировка</w:t>
            </w:r>
          </w:p>
          <w:bookmarkEnd w:id="225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Увязать с высотными отметками прилегающей территории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 благоустройство и озеленение</w:t>
            </w:r>
          </w:p>
          <w:bookmarkEnd w:id="226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парковка автомобилей</w:t>
            </w:r>
          </w:p>
          <w:bookmarkEnd w:id="227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использование плодородного слоя почвы</w:t>
            </w:r>
          </w:p>
          <w:bookmarkEnd w:id="228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малые архитектурные формы</w:t>
            </w:r>
          </w:p>
          <w:bookmarkEnd w:id="229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освещение</w:t>
            </w:r>
          </w:p>
          <w:bookmarkEnd w:id="230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Архитектурные требования</w:t>
            </w:r>
          </w:p>
          <w:bookmarkEnd w:id="231"/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Стилистика архитектурного образа</w:t>
            </w:r>
          </w:p>
          <w:bookmarkEnd w:id="232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Сформировать архитектурный образ в соответствии с функциональными особенностями объекта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Характер сочетания с окружающей застройкой</w:t>
            </w:r>
          </w:p>
          <w:bookmarkEnd w:id="233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местоположением объекта и градостроительным значением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Цветовое решение</w:t>
            </w:r>
          </w:p>
          <w:bookmarkEnd w:id="234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согласованному эскизному проекту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Рекламно-информационное решение, в том числе:</w:t>
            </w:r>
          </w:p>
          <w:bookmarkEnd w:id="235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рекламно-информационные установки согласно статье 21 Закона Республики Казахстан "О языках Республики Казахстан"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 ночное световое оформление</w:t>
            </w:r>
          </w:p>
          <w:bookmarkEnd w:id="236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Входные узлы</w:t>
            </w:r>
          </w:p>
          <w:bookmarkEnd w:id="237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Предложить акцентирование входных узлов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Создание условий для жизнедеятельности маломобильных групп населения</w:t>
            </w:r>
          </w:p>
          <w:bookmarkEnd w:id="238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мероприятия в соответствии с указаниями и требованиями строительных нормативных документов РК; предусмотреть доступ инвалидов к зданию, предусмотреть пандусы, специальные подъездные пути и устройства для проезда инвалидных колясок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Соблюдение условий по звукошумовым показателям</w:t>
            </w:r>
          </w:p>
          <w:bookmarkEnd w:id="239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требованиям строительных нормативных документов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к наружной отделке</w:t>
            </w:r>
          </w:p>
          <w:bookmarkEnd w:id="240"/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Цоколь</w:t>
            </w:r>
          </w:p>
          <w:bookmarkEnd w:id="241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Фасад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Ограждающие конструкций</w:t>
            </w:r>
          </w:p>
          <w:bookmarkEnd w:id="242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к инженерным сетям</w:t>
            </w:r>
          </w:p>
          <w:bookmarkEnd w:id="243"/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Теплоснабжение</w:t>
            </w:r>
          </w:p>
          <w:bookmarkEnd w:id="244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техническим условиям (№ __и дата выдачи технических условий (далее - ТУ)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Водоснабжение</w:t>
            </w:r>
          </w:p>
          <w:bookmarkEnd w:id="245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Канализация</w:t>
            </w:r>
          </w:p>
          <w:bookmarkEnd w:id="246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Электроснабжение</w:t>
            </w:r>
          </w:p>
          <w:bookmarkEnd w:id="247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Газоснабжение</w:t>
            </w:r>
          </w:p>
          <w:bookmarkEnd w:id="248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Телекоммуникации и телерадиовещания</w:t>
            </w:r>
          </w:p>
          <w:bookmarkEnd w:id="249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техническим условиям (№__ и дата выдачи ТУ) и требований нормативным документам 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Дренаж (при необходимости) и ливневая канализация</w:t>
            </w:r>
          </w:p>
          <w:bookmarkEnd w:id="250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Стационарные поливочные системы</w:t>
            </w:r>
          </w:p>
          <w:bookmarkEnd w:id="251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Обязательства, возлагаемые на застройщика</w:t>
            </w:r>
          </w:p>
          <w:bookmarkEnd w:id="252"/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инженерным изысканиям</w:t>
            </w:r>
          </w:p>
          <w:bookmarkEnd w:id="253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Приступать к освоению земельного участка разрешается после геодезического выноса и закрепления его границ в натуре (на местности) 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сносу (переносу) существующих строений и сооружений</w:t>
            </w:r>
          </w:p>
          <w:bookmarkEnd w:id="254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необходимости 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переносу существующих подземных и надземных инженерных коммуникаций</w:t>
            </w:r>
          </w:p>
          <w:bookmarkEnd w:id="255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техническим условиям на перенос (вынос) либо на проведения мероприятия по защите сетей и сооружений. 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 сохранению и/или пересадке зеленых насаждений</w:t>
            </w:r>
          </w:p>
          <w:bookmarkEnd w:id="256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 строительству временного ограждения участка</w:t>
            </w:r>
          </w:p>
          <w:bookmarkEnd w:id="257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Дополнительные требования</w:t>
            </w:r>
          </w:p>
          <w:bookmarkEnd w:id="258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проектировании системы кондиционирования в здании (в том случае, когда проектом не предусмотрено централизованное холодоснабжение и кондиционирование) необходимо предусмотреть размещение наружных элементов локальных систем в соответствии с архитектурным решением фасадов здания. На фасадах проектируемого здания предусмотреть места (ниши, выступы, балконы и т.д.) для размещения наружных элементов локальных систем кондиционирования.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Применить материалы по ресурсосбережению и современных энергосберегающих технологий. 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Общие требования</w:t>
            </w:r>
          </w:p>
          <w:bookmarkEnd w:id="259"/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разработке проекта (рабочего проекта) необходимо руководствоваться нормами действующего законодательства Республики Казахстан в сфере архитектурной, градостроительной и строительной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Согласовать с главным архитектором города (района):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Эскизный проект.</w:t>
            </w:r>
          </w:p>
        </w:tc>
      </w:tr>
    </w:tbl>
    <w:bookmarkStart w:name="z2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Примечания:</w:t>
      </w:r>
    </w:p>
    <w:bookmarkEnd w:id="260"/>
    <w:bookmarkStart w:name="z2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АПЗ и ТУ действуют в течение всего срока нормативной продолжительности строительства, утвержденного в составе проектной (проектно-сметной) документации.</w:t>
      </w:r>
    </w:p>
    <w:bookmarkEnd w:id="261"/>
    <w:bookmarkStart w:name="z2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2. В случае возникновения обстоятельств, требующих пересмотра условий АПЗ, изменения в него могут быть внесены по согласованию с заказчиком. </w:t>
      </w:r>
    </w:p>
    <w:bookmarkEnd w:id="262"/>
    <w:bookmarkStart w:name="z2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Требования и условия, изложенные в АПЗ, обязательны для всех участников инвестиционного процесса независимо от форм собственности и источников финансирования. АПЗ по просьбе заказчика или местного исполнительного органа архитектуры и градостроительства может быть предметом обсуждения градостроительного совета, архитектурной общественности, рассмотрено в независимой экспертизе.</w:t>
      </w:r>
    </w:p>
    <w:bookmarkEnd w:id="263"/>
    <w:bookmarkStart w:name="z2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Несогласие заказчика с требованиями, содержащимися в АПЗ, может быть обжаловано в судебном порядке.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2"/>
        <w:gridCol w:w="5688"/>
      </w:tblGrid>
      <w:tr>
        <w:trPr>
          <w:trHeight w:val="30" w:hRule="atLeast"/>
        </w:trPr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АПЗ составил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bookmarkEnd w:id="265"/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АПЗ получил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bookmarkEnd w:id="26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исходных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при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(перепланировки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переоборудования)"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9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</w:t>
      </w:r>
    </w:p>
    <w:bookmarkEnd w:id="267"/>
    <w:bookmarkStart w:name="z2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о предоставлении исходных материало</w:t>
      </w:r>
      <w:r>
        <w:rPr>
          <w:rFonts w:ascii="Times New Roman"/>
          <w:b/>
          <w:i w:val="false"/>
          <w:color w:val="000000"/>
          <w:sz w:val="28"/>
        </w:rPr>
        <w:t>в / архитектурно-планировочного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задания и технических условий</w:t>
      </w:r>
    </w:p>
    <w:bookmarkEnd w:id="268"/>
    <w:bookmarkStart w:name="z2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заявителя: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физического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юридического лица)</w:t>
      </w:r>
    </w:p>
    <w:bookmarkEnd w:id="269"/>
    <w:bookmarkStart w:name="z2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__________________________________________________________________________</w:t>
      </w:r>
    </w:p>
    <w:bookmarkEnd w:id="270"/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_______________________________________________________________________</w:t>
      </w:r>
    </w:p>
    <w:bookmarkEnd w:id="271"/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_______________________________________________________________________</w:t>
      </w:r>
    </w:p>
    <w:bookmarkEnd w:id="272"/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проектируемого объекта: _____________________________________________</w:t>
      </w:r>
    </w:p>
    <w:bookmarkEnd w:id="273"/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проектируемого объекта: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75"/>
    <w:bookmarkStart w:name="z3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</w:t>
      </w:r>
    </w:p>
    <w:bookmarkEnd w:id="276"/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</w:p>
    <w:bookmarkEnd w:id="277"/>
    <w:p>
      <w:pPr>
        <w:spacing w:after="0"/>
        <w:ind w:left="0"/>
        <w:jc w:val="both"/>
      </w:pPr>
      <w:r>
        <w:drawing>
          <wp:inline distT="0" distB="0" distL="0" distR="0">
            <wp:extent cx="266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Пакет 1 (архитектурно-планировочное задание и технические условия);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</w:p>
    <w:bookmarkEnd w:id="278"/>
    <w:p>
      <w:pPr>
        <w:spacing w:after="0"/>
        <w:ind w:left="0"/>
        <w:jc w:val="both"/>
      </w:pPr>
      <w:r>
        <w:drawing>
          <wp:inline distT="0" distB="0" distL="0" distR="0">
            <wp:extent cx="266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Пакет 2 (архитектурно-планировочное задание, вертикальные планировочные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отметки, выкопировку из проекта детальной планировки, типовые поперечные профили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дорог и улиц, технические условия, схемы трасс наружных инженерных сетей).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279"/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"_____"_______________ 20__ год</w:t>
      </w:r>
    </w:p>
    <w:bookmarkEnd w:id="280"/>
    <w:bookmarkStart w:name="z3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исходных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при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(перепланировки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переоборудования)"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30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Опросный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для технических усло</w:t>
      </w:r>
      <w:r>
        <w:rPr>
          <w:rFonts w:ascii="Times New Roman"/>
          <w:b/>
          <w:i w:val="false"/>
          <w:color w:val="000000"/>
          <w:sz w:val="28"/>
        </w:rPr>
        <w:t>вий на подключение к 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инженерного и коммунального обеспечения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1"/>
        <w:gridCol w:w="3219"/>
      </w:tblGrid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  <w:bookmarkEnd w:id="283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  <w:bookmarkEnd w:id="284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по нормам</w:t>
            </w:r>
          </w:p>
          <w:bookmarkEnd w:id="285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объект (реконструкция)</w:t>
            </w:r>
          </w:p>
          <w:bookmarkEnd w:id="286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  <w:bookmarkEnd w:id="287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здания</w:t>
            </w:r>
          </w:p>
          <w:bookmarkEnd w:id="288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 (номеров, кабинетов)</w:t>
            </w:r>
          </w:p>
          <w:bookmarkEnd w:id="289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422"/>
        <w:gridCol w:w="9917"/>
      </w:tblGrid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 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строительстве по очередям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реконструкции</w:t>
            </w:r>
          </w:p>
          <w:bookmarkEnd w:id="290"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мощность, кВт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нагрузки (фаза)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Однофазная, трехфазная, постоянная, временная, сезонная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 надежности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категория___кВт (кВА), II категория ___кВт (кВА), III категория___кВт (кВА)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нагрузка после ввода в эксплуатацию по годам (нарастающим итогом с учетом существующей нагрузки)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20__г.____кВт, 20__г.____кВт, 20__г.____кВт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указанной макс. нагрузки относятся к электроприемникам: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категория___кВт (кВА), II кат.___кВт (кВА), III кат.___кВт (кВА)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Предполагается установить электрокотлы,электрокалориферы,электроплитки,электропечи,электроводонагреватели(нужное подчеркнуть)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кол-ве ___шт., единичной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_____кВт (кВА)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Существующая максимальная нагрузка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Разрешенная по договору мощность трансформаторов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ТП № _________________ кВА в ТП № _________________ кВА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1426"/>
        <w:gridCol w:w="1970"/>
        <w:gridCol w:w="1971"/>
        <w:gridCol w:w="1952"/>
        <w:gridCol w:w="325"/>
        <w:gridCol w:w="658"/>
        <w:gridCol w:w="166"/>
        <w:gridCol w:w="969"/>
        <w:gridCol w:w="1562"/>
        <w:gridCol w:w="97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  <w:bookmarkEnd w:id="291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потребность в воде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м3/сутки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м3/час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питьевой воды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л/сек макс.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т/ч.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хозпитьевые нужды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м3/сутки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м3/час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л/сек макс.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м3/сутки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м3/час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л/сек макс.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л/сек</w:t>
            </w:r>
          </w:p>
        </w:tc>
      </w:tr>
      <w:tr>
        <w:trPr>
          <w:trHeight w:val="30" w:hRule="atLeast"/>
        </w:trPr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  <w:bookmarkEnd w:id="292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сточных вод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м3/сутки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м3/ч. макс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т/ч.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фекальных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м3/сутки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м3/ч. макс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Производственно-загрязненных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м3/сутки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м3/ч. макс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Условно-чистых сбрасываемых на городскую канализацию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м3/сутки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м3/ч. макс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 состав и характеристики промышленных стоков (рH, взвешенных веществ, БГ концентрация кислот, щелочей, взрывчатых, воспламеняющих радиоактивных веществ и др.)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  <w:bookmarkEnd w:id="2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тепловая нагрузка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Гкал/ч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Гкал/ч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Гкал/ч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Гкал/ч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нужды(пар)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т/ч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Разделить нагрузку по жилью и по встроенным помещениям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Энергосберегающее мероприятие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Ливневая канализация</w:t>
            </w:r>
          </w:p>
          <w:bookmarkEnd w:id="2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Пожелание заказчика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Телефонизация</w:t>
            </w:r>
          </w:p>
          <w:bookmarkEnd w:id="2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ОТА и услуг в разбивке физ.лиц и юр.лиц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емкость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телефонная канализация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Пожелания заказчика (тип оборудования, тип кабеля и др.)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  <w:bookmarkEnd w:id="2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____м3/час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приготовление пищи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____м3/час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____м3/час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____м3/час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____м3/час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при газификации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многоэтажных домов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____м3/час</w:t>
            </w:r>
          </w:p>
        </w:tc>
      </w:tr>
    </w:tbl>
    <w:bookmarkStart w:name="z35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 *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97"/>
    <w:bookmarkStart w:name="z35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В случае подачи опросного листа субпотребителем, в примечании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согласие потребителя на подключение к его сетям субпотребителя. При этом в согласии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потребителя указываются его данные (физические лица – скрепляют подписью, юридические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– подписью и печатью).</w:t>
      </w:r>
    </w:p>
    <w:bookmarkEnd w:id="298"/>
    <w:bookmarkStart w:name="z36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</w:t>
      </w:r>
    </w:p>
    <w:bookmarkEnd w:id="299"/>
    <w:bookmarkStart w:name="z36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"____" ________________ 20___ год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исходных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при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(перепланировки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переоборудования)"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6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</w:t>
      </w:r>
    </w:p>
    <w:bookmarkEnd w:id="301"/>
    <w:bookmarkStart w:name="z36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для получения исходных материа</w:t>
      </w:r>
      <w:r>
        <w:rPr>
          <w:rFonts w:ascii="Times New Roman"/>
          <w:b/>
          <w:i w:val="false"/>
          <w:color w:val="000000"/>
          <w:sz w:val="28"/>
        </w:rPr>
        <w:t>лов и разрешительных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для реконструкции (перепланиров</w:t>
      </w:r>
      <w:r>
        <w:rPr>
          <w:rFonts w:ascii="Times New Roman"/>
          <w:b/>
          <w:i w:val="false"/>
          <w:color w:val="000000"/>
          <w:sz w:val="28"/>
        </w:rPr>
        <w:t>ки, переоборудования)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(отдельных частей) существующих зданий</w:t>
      </w:r>
    </w:p>
    <w:bookmarkEnd w:id="302"/>
    <w:bookmarkStart w:name="z36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заявителя: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физического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юридического лица)</w:t>
      </w:r>
    </w:p>
    <w:bookmarkEnd w:id="303"/>
    <w:bookmarkStart w:name="z36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__________________________________________________________________________</w:t>
      </w:r>
    </w:p>
    <w:bookmarkEnd w:id="304"/>
    <w:bookmarkStart w:name="z36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_______________________________________________________________________</w:t>
      </w:r>
    </w:p>
    <w:bookmarkEnd w:id="305"/>
    <w:bookmarkStart w:name="z36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_______________________________________________________________________</w:t>
      </w:r>
    </w:p>
    <w:bookmarkEnd w:id="306"/>
    <w:bookmarkStart w:name="z37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проектируемого объекта: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07"/>
    <w:bookmarkStart w:name="z37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проектируемого объекта: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08"/>
    <w:bookmarkStart w:name="z37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Вас выдать решение на реконструкцию (перепланировку, переоборудования)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помещений (отдельных частей) существующих зданий и сооружений связанных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изменением несущих и ограждающих конструкций, инженерных систем и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архитектурно-планировочное задание, технические условия и схемы трасс наружных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инженерных сетей (при подаче заявителем опросного листа)</w:t>
      </w:r>
    </w:p>
    <w:bookmarkEnd w:id="309"/>
    <w:bookmarkStart w:name="z37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310"/>
    <w:bookmarkStart w:name="z37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"_____"_______________ 20__ год</w:t>
      </w:r>
    </w:p>
    <w:bookmarkEnd w:id="311"/>
    <w:bookmarkStart w:name="z37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исходных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при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(перепланировки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переоборудования)"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(далее – ФИО),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(адрес услугополучателя)</w:t>
      </w:r>
    </w:p>
    <w:bookmarkEnd w:id="313"/>
    <w:bookmarkStart w:name="z37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</w:p>
    <w:bookmarkEnd w:id="314"/>
    <w:bookmarkStart w:name="z38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Руководствуясь пунктом 2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№__ филиалаНекоммерческого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(указать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в соответствии со стандартом государственной услуги)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</w:p>
    <w:bookmarkEnd w:id="315"/>
    <w:bookmarkStart w:name="z38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отсутствующих документов:</w:t>
      </w:r>
    </w:p>
    <w:bookmarkEnd w:id="316"/>
    <w:bookmarkStart w:name="z38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________________________________________;</w:t>
      </w:r>
    </w:p>
    <w:bookmarkEnd w:id="317"/>
    <w:bookmarkStart w:name="z38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________________________________________;</w:t>
      </w:r>
    </w:p>
    <w:bookmarkEnd w:id="318"/>
    <w:bookmarkStart w:name="z38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….</w:t>
      </w:r>
    </w:p>
    <w:bookmarkEnd w:id="319"/>
    <w:bookmarkStart w:name="z38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Настоящая расписка составлена в 2 экземплярах, по одному для каждой стороны. </w:t>
      </w:r>
    </w:p>
    <w:bookmarkEnd w:id="320"/>
    <w:bookmarkStart w:name="z38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ФИО           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(работника Государственной корпорации)</w:t>
      </w:r>
    </w:p>
    <w:bookmarkEnd w:id="321"/>
    <w:bookmarkStart w:name="z38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Исполнитель: ФИО_____________</w:t>
      </w:r>
    </w:p>
    <w:bookmarkEnd w:id="322"/>
    <w:bookmarkStart w:name="z38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Телефон __________</w:t>
      </w:r>
    </w:p>
    <w:bookmarkEnd w:id="323"/>
    <w:bookmarkStart w:name="z38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Получил: ФИО                        / подпись услугополучателя</w:t>
      </w:r>
    </w:p>
    <w:bookmarkEnd w:id="324"/>
    <w:bookmarkStart w:name="z39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"___" _________ 20__ год</w:t>
      </w:r>
    </w:p>
    <w:bookmarkEnd w:id="3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