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81e3" w14:textId="10b8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июня 2017 года № 126. Зарегистрировано в Министерстве юстиции Республики Казахстан 7 сентября 2017 года № 15628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2001 года № 655 "О договоре о доверительном управлении Национальным фондом Республики Казахстан", а также в целях обеспечения эффективности доверительного управления Национальным фондом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изложен в новой редакции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изложен в новой редакции на государственном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понятия";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Кредитный рейтинг – показатель уровня кредитного риска по долговым финансовым инструментам, эмитентам, контрпартнерам, присваиваемый международными рейтинговыми агентствами.";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Сберегательный портфель – это портфель, целью которого является сохранность и обеспечение доходности в долгосрочной перспективе при соответствующем уровне риска. Все поступления в сберегательный портфель и трансферты из сберегательного портфеля осуществляются через стабилизационный портфель.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Стабилизационный портфель – это портфель, целью которого является обеспечение достаточного уровня ликвидности активов.";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26-2, 26-3 и 26-4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"26-2. Переходный период – период, начиная с 2017 года, длительностью от 3 (трех) до 5 (пяти) лет, в течение которого осуществляется переход к новому целевому стратегическому распределению сберегательного портфеля.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26-3. План перехода – ряд последовательных действий Национального Банка в течение Переходного периода, направленных на приведение активов сберегательного портфеля к новому стратегическому распределению.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26-4. Стратегия Усреднения значений входа EVА (Enter Value Averaging) – стратегия перераспределения активов, при которой производится приведение активов к заранее рассчитанным весам по определенному графику в соответствии с планом перехода.";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Общая стратегия по управлению портфелями Фонда";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Максимальный размер стабилизационного портфеля составляет 10 (десять) миллиардов долларов США. В случае, если по итогам года размер стабилизационного портфеля превышает 10 (десять) миллиардов долларов США, средства в размере не менее суммы превышения переводятся из стабилизационного в сберегательный портфель в течение 1 (одного) квартала.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обеспечения изъятий в республиканский бюджет гарантированных и целевых трансфертов из Фонда при недостаточности средств производится перевод части активов из сберегательного портфеля в стабилизационный портфель.";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изложена в новой редакции на государственном языке, текст на русском языке не меняется;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Операции репо и обратного репо должны осуществляться с контрпартнерами, имеющими краткосрочные кредитные рейтинги не ниже А-1 (Standard&amp;Poor’s)/P1 (Moody’s) и долгосрочные кредитные рейтинги не ниже A- (Standard&amp;Poor’s)/A3 (Moody’s). Обеспечением для операций обратного репо должны быть ценные бумаги с минимальным кредитным рейтингом не ниже A+ (Standard&amp;Poor’s)/А1 (Moody’s), рыночная стоимость которых составляет не менее 100 (сто) процентов от суммы операции.";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"35-4. В случае отсутствия у государственной ценной бумаги кредитного рейтинга применяется суверенный рейтинг страны-эмитента, до присвоения кредитного рейтинга государственной ценной бумаге.";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Основные параметры стабилизационного портфеля";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Стабилизационный портфель состоит из высоколиквидных активов стран с кредитным рейтингом не ниже, чем А-(Standard&amp;Poor’s)/А3 (Moody’s).";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Параметры сберегательного портфеля";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Основные параметры сберегательного портфеля";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Сберегательный портфель делится на портфель ценных бумаг с фиксированным доходом, портфель акций и портфель альтернативных инструментов.";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Целевым стратегическим распределением активов сберегательного портфеля по окончании переходного периода является: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60 (шестьдесят) процентов – облигации, включая: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(тридцать пять) процентов – государственные облигации развитых стран;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(пятнадцать) процентов – государственные облигации развивающихся стран;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(десять) процентов – корпоративные облигации;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35 (тридцать пять) процентов – акции;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5 (пяти) процентов – альтернативные инструменты.";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параграфом 1-1 следующего содержания: 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1-1. Основные параметры сберегательного портфеля переходного периода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47-1. Переход к новому стратегическому распределению активов сберегательного портфеля осуществляется в соответствии с планом перехода согласно приложению 3-1 к настоящим Правилам, который включает в себя распределение целевых долей портфелей в составе сберегательного портфеля на конец каждого года, с внесением соответствующих изменений в настоящие Правила в течение переходного периода.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47-2. В случае неблагоприятной конъюнктуры рынка или необходимости дополнительного времени на подготовку инфраструктуры сберегательного портфеля разрешается отклонение от плана перехода. 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47-3. Реализация плана перехода, включая ежеквартальные изменения, основываются на стратегии Усреднения значений входа EVA (Enter Value Averaging). 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47-4. Первый этап плана перехода, запланированный на 2017 год, осуществляется в течение четвертого квартала 2017 года.";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Параметры портфеля ценных бумаг с фиксированным доходом (государственных облигаций развитых стран)";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Эталонным портфелем для портфеля ценных бумаг с фиксированным доходом сберегательного портфеля считается композитный индекс облигаций развитых стран мира, состоящий из следующих индексов высоколиквидных ценных бумаг: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Merrill Lynch U.S. Treasuries, 1-5 Yrs (GVQ0) – 55 (пятьдесят пять) процентов; 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– 15 (пятнадцать) процентов;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– 10 (десять) процентов;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– 5 (пять) процентов;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– 5 (пять) процентов;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– 5 (пять) процентов;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– 5 (пять) процентов.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ежемесячно. Показатели доходности и риска рассчитываются ежедневно.";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Минимальный долгосрочный кредитный рейтинг ценной бумаги – BBB (Standard&amp;Poor’s)/Baa2 (Moody’s). На корпоративные ценные бумаги в портфеле отдельного управляющего сберегательного портфеля устанавливаются лимиты по долгосрочному кредитному рейтингу (Standard&amp;Poor's/Moody's) на корпоративные ценные бумаги в портфеле отдельного управляющего сберегательного портфеля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краткосрочный кредитный рейтинг эмитента корпоративных ценных бумаг денежного рынка – А3 (Standard&amp;Poor’s)/P3 (Moody’s).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Максимальные отклонения в сберегательном портфеле для государственных ценных бумаг стран, не входящих в эталонный индекс, агентских долговых обязательств, долговых обязательств международных финансовых организаций с долгосрочным кредитным рейтингом АА-(Standard&amp;Poor's)/Aa3(Moody's) и ниже определяются согласно приложению 6 к настоящим Правилам.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 под залог недвижимости (MBS) или активов (ABS) имеют кредитные рейтинги от ААА до ВВВ (Standard&amp;Poor’s) или от Ааа до Ваа2 (Moody’s).";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51-1 следующего содержания: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"51-1. Ожидаемая изменчивость отклонения доходности портфеля ценных бумаг с фиксированным доходом (государственных облигаций развитых стран) от доходности эталонного портфеля (tracking error) – 2 (два) процента.";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Параметры портфеля акций";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55-2 следующего содержания: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"55-2. Ожидаемая изменчивость отклонения доходности портфеля акций от доходности эталонного портфеля (tracking error) – 3,75 (три целых семьдесят пять сотых) процента.";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параграфом 4 следующего содержания: 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Портфель альтернативных инструментов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55-3. Целевым уровнем доходности портфеля альтернативных инструментов является доходность композитного индекса, состоящего на 80 (восемьдесят) процентов из индекса MSCI АCWI Investable Market Index и на 20 (двадцать) процентов из индекса Barclays Global Aggregate Bond Index, измеряемых в долларах США. 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композитном индексе производится в последний рабочий день календарного квартала.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минимальный уровень доходности составляет значение индекса инфляции в США (US CPI) +3 (три) процента, в годовом исчислении. 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55-4. Целью портфеля альтернативных инструментов является обеспечение доходности активов в долгосрочной перспективе и диверсификация активов Фонда. В соответствии с целью портфеля альтернативных инструментов оценка его эффективности осуществляется за период свыше 15 (пятнадцати) лет.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55-5. Управление портфелем альтернативных инструментов осуществляет акционерное общество "Национальная инвестиционная корпорация Национального Банка Казахстана" (далее – Корпорация). 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55-6. При осуществлении инвестиций в портфеле альтернативных инструментов Корпорация соблюдает ограничения, установленные настоящими Правилами.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55-7. Активы портфеля альтернативных инструментов инвестируются в следующие альтернативные инструменты: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хедж-фонды;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частный капитал;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инвестиции в недвижимость;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инфраструктурные инвестиции;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ликвидные альтернативные инструменты.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55-8. При передаче активов портфеля альтернативных инструментов в управление для осуществления инвестиций в фонды фондов (fund of funds) и путем прямого инвестирования в фонды допускается инвестирование посредством приобретения акций и долей компаний специального назначения (special purpose vehicle).";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5-1. Параметры портфеля золота";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Ограничения при выборе внешних управляющих";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Ограничения при выборе кастодианов";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Использование структурных продуктов";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Отчетность";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Лимиты кредитного риска";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изложены в новой редакции на государственном языке, текст на русском языке не меняется;</w:t>
      </w:r>
    </w:p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изложен в новой редакции на государственном языке, текст на русском языке не меняется;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(Молдабекова А.М.) в установленном законодательством Республики Казахстан порядке обеспечить: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И.о. Министра _______________ Б. Шолпанкулов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 июля 2017 года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 августа 2017 года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перехода 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5"/>
        <w:gridCol w:w="1709"/>
        <w:gridCol w:w="1709"/>
        <w:gridCol w:w="1709"/>
        <w:gridCol w:w="2093"/>
        <w:gridCol w:w="32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доли портфелей в составе сберегательного портфеля на конец каждого года</w:t>
            </w:r>
          </w:p>
          <w:bookmarkEnd w:id="113"/>
        </w:tc>
      </w:tr>
      <w:tr>
        <w:trPr>
          <w:trHeight w:val="30" w:hRule="atLeast"/>
        </w:trPr>
        <w:tc>
          <w:tcPr>
            <w:tcW w:w="1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1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развитых стран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инструменты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стран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  <w:bookmarkEnd w:id="115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 и выше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2% или порядка 1 млрд. долларов США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16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26% и выше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4% или порядка 2 млрд. долларов США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17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31% и выше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4% или порядка 2 млрд. долларов США</w:t>
            </w:r>
          </w:p>
        </w:tc>
      </w:tr>
      <w:tr>
        <w:trPr>
          <w:trHeight w:val="30" w:hRule="atLeast"/>
        </w:trPr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  <w:bookmarkEnd w:id="118"/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 и выше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2017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5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отклонения в сберегательном портфеле</w:t>
      </w:r>
      <w:r>
        <w:rPr>
          <w:rFonts w:ascii="Times New Roman"/>
          <w:b/>
          <w:i w:val="false"/>
          <w:color w:val="000000"/>
        </w:rPr>
        <w:t xml:space="preserve"> для государственных ценных бумаг стран, не входящих в эталонный индекс, агентских долговых обязательств, долговых обязательств международных финансовых организаций с долгосрочным кредитным рейтингом АА-(Standard&amp;Poor's)/Aa3(Moody's) и ниже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7"/>
        <w:gridCol w:w="1116"/>
        <w:gridCol w:w="1397"/>
      </w:tblGrid>
      <w:tr>
        <w:trPr>
          <w:trHeight w:val="30" w:hRule="atLeast"/>
        </w:trPr>
        <w:tc>
          <w:tcPr>
            <w:tcW w:w="9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активов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Максимум</w:t>
            </w:r>
          </w:p>
        </w:tc>
      </w:tr>
      <w:tr>
        <w:trPr>
          <w:trHeight w:val="30" w:hRule="atLeast"/>
        </w:trPr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ВВВ/Baa2 до BBB+/ Baa1 включительно (доля активов с долгосрочным кредитным рейтингом BBB/Ваа2 не должна превышать 3%)</w:t>
            </w:r>
          </w:p>
          <w:bookmarkEnd w:id="121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6 %</w:t>
            </w:r>
          </w:p>
        </w:tc>
      </w:tr>
      <w:tr>
        <w:trPr>
          <w:trHeight w:val="30" w:hRule="atLeast"/>
        </w:trPr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А-/А3 до А/А2 включительно</w:t>
            </w:r>
          </w:p>
          <w:bookmarkEnd w:id="122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9%</w:t>
            </w:r>
          </w:p>
        </w:tc>
      </w:tr>
      <w:tr>
        <w:trPr>
          <w:trHeight w:val="30" w:hRule="atLeast"/>
        </w:trPr>
        <w:tc>
          <w:tcPr>
            <w:tcW w:w="9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долгосрочным кредитным рейтингом от А+/А1 до АА-/Аа3 включительно</w:t>
            </w:r>
          </w:p>
          <w:bookmarkEnd w:id="12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