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04e8fe" w14:textId="104e8f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и дополнений в приказ исполняющего обязанности Министра по инвестициям и развитию Республики Казахстан от 21 января 2015 года № 34 "Об утверждении Правил присвоения полос частот, радиочастот (радиочастотных каналов), эксплуатации радиоэлектронных средств и высокочастотных устройств, а также проведения расчета электромагнитной совместимости радиоэлектронных средств гражданского назначения"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информации и коммуникаций Республики Казахстан от 28 июля 2017 года № 270. Зарегистрирован в Министерстве юстиции Республики Казахстан 1 ноября 2017 года № 15954</w:t>
      </w:r>
    </w:p>
    <w:p>
      <w:pPr>
        <w:spacing w:after="0"/>
        <w:ind w:left="0"/>
        <w:jc w:val="both"/>
      </w:pPr>
      <w:bookmarkStart w:name="z3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19-12)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от 5 июля 2004 года "О связи"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</w:p>
    <w:bookmarkEnd w:id="0"/>
    <w:bookmarkStart w:name="z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по инвестициям и развитию Республики Казахстан от 21 января 2015 года № 34 "Об утверждении Правил присвоения полос частот, радиочастот (радиочастотных каналов), эксплуатации радиоэлектронных средств и высокочастотных устройств, а также проведения расчета электромагнитной совместимости радиоэлектронных средств гражданского назначения" (зарегистрированный в Реестре государственной регистрации нормативных правовых актов за № 10730, опубликованный 20 апреля 2015 года в Информационно-правовой системе "Әділет") следующие изменения и дополнения:</w:t>
      </w:r>
    </w:p>
    <w:bookmarkEnd w:id="1"/>
    <w:bookmarkStart w:name="z5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Правилах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присвоения полос частот, радиочастот (радиочастотных каналов), эксплуатации радиоэлектронных средств и высокочастотных устройств, а также проведения расчета электромагнитной совместимости радиоэлектронных средств гражданского назначения, утвержденных указанным приказом:</w:t>
      </w:r>
    </w:p>
    <w:bookmarkEnd w:id="2"/>
    <w:bookmarkStart w:name="z6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заголовок </w:t>
      </w:r>
      <w:r>
        <w:rPr>
          <w:rFonts w:ascii="Times New Roman"/>
          <w:b w:val="false"/>
          <w:i w:val="false"/>
          <w:color w:val="000000"/>
          <w:sz w:val="28"/>
        </w:rPr>
        <w:t>главы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3"/>
    <w:bookmarkStart w:name="z7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"Глава 1. Общие положения";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9)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2 изложить в следующей редакции:</w:t>
      </w:r>
    </w:p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"9) заявитель - физическое или юридическое лицо, филиал или представительство юридического лица, лицензиат, представитель владельца радиоэлектронных средств и (или) высокочастотных устройств либо его доверенное лицо;"; 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заголовок </w:t>
      </w:r>
      <w:r>
        <w:rPr>
          <w:rFonts w:ascii="Times New Roman"/>
          <w:b w:val="false"/>
          <w:i w:val="false"/>
          <w:color w:val="000000"/>
          <w:sz w:val="28"/>
        </w:rPr>
        <w:t>главы 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"Глава 2. Порядок присвоения полос частот, радиочастот (радиочастотных каналов)";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1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"4. Заявителем подается заявка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в электронном виде посредством веб-портала "электронного правительства" www.egov.kz (далее – Портал) по месту использования РЧР на получение следующих разрешений:</w:t>
      </w:r>
    </w:p>
    <w:bookmarkEnd w:id="8"/>
    <w:bookmarkStart w:name="z1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 использование радиочастотного спектра Республики Казахстан в порядке, предусмотренном пунктами 4-15 настоящих Правил. На каждый вид связи подается отдельная заявка;</w:t>
      </w:r>
    </w:p>
    <w:bookmarkEnd w:id="9"/>
    <w:bookmarkStart w:name="z1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на эксплуатацию радиоэлектронных средств и высокочастотных устройств в порядке, предусмотренном </w:t>
      </w:r>
      <w:r>
        <w:rPr>
          <w:rFonts w:ascii="Times New Roman"/>
          <w:b w:val="false"/>
          <w:i w:val="false"/>
          <w:color w:val="000000"/>
          <w:sz w:val="28"/>
        </w:rPr>
        <w:t>пунктами 47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58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настоящих Правил.</w:t>
      </w:r>
    </w:p>
    <w:bookmarkEnd w:id="10"/>
    <w:bookmarkStart w:name="z1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разрешения на судовой станции осуществляется по форме, указанном в Правилах радиосвязи Морской подвижной службы Республики Казахстан и Регламенте радиосвязи Международного союза электросвязи.";</w:t>
      </w:r>
    </w:p>
    <w:bookmarkEnd w:id="11"/>
    <w:bookmarkStart w:name="z1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подпункт 1)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 </w:t>
      </w:r>
    </w:p>
    <w:bookmarkEnd w:id="12"/>
    <w:bookmarkStart w:name="z1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"1) пояснительная записка, в которой приводится обоснование запрашиваемой полосы (номинала) радиочастот, где подробно излагаются сведения о назначении и характере планируемой радиосети (радиолинии), используемых стандартах и протоколах, технических характеристиках РЭС, планируемых к применению, схема организации связи. В том числе, к пояснительной записке прилагаются:</w:t>
      </w:r>
    </w:p>
    <w:bookmarkEnd w:id="13"/>
    <w:bookmarkStart w:name="z1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организации спутниковой связи с HUB-станцией, копия письма оператора спутниковой связи с указанием номиналов (полосы) выделяемых радиочастот, ЭИИМ, класса излучения, типа VSAT-станций;</w:t>
      </w:r>
    </w:p>
    <w:bookmarkEnd w:id="14"/>
    <w:bookmarkStart w:name="z2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эксплуатации негеостационарных спутников на территории Республики Казахстан, копия положительного заключения Международного союза электросвязи заявки на регистрацию негеостационарной спутниковой сети в соответствии с Регламентом радиосвязи Международного союза электросвязи;</w:t>
      </w:r>
    </w:p>
    <w:bookmarkEnd w:id="15"/>
    <w:bookmarkStart w:name="z2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целей телерадиовещания положительный результат проведенного конкурса по распределению полос частот, радиочастот (радиочастотных каналов);</w:t>
      </w:r>
    </w:p>
    <w:bookmarkEnd w:id="16"/>
    <w:bookmarkStart w:name="z22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дипломатических и консульских представительств иностранных государств на территории Республики Казахстан, копия письма Министерства иностранных дел Республики Казахстан о согласия на получение Разрешения на РЧС на территории Республики Казахстан;";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7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исключить;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2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"11. Территориальное подразделение уполномоченного органа (далее - территориальное подразделение) после поступления заявки на получение Разрешения на РЧС в случае правильности оформления заявки в течение двух рабочих дней:</w:t>
      </w:r>
    </w:p>
    <w:bookmarkEnd w:id="18"/>
    <w:bookmarkStart w:name="z2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по всем видам связи, за исключением видов связи подвижной службы, сети беспроводного радиодоступа (WLL), сотовой связи, ТВ и РВ направляет заявку в Государственную техническую службу. </w:t>
      </w:r>
    </w:p>
    <w:bookmarkEnd w:id="19"/>
    <w:bookmarkStart w:name="z2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диапазоне 33–48,5 МГц; 57–57,5 МГц; 117,975-137 МГц, 146–174 МГц, 380–385 МГц, 390–470 МГц в соответствии с республиканской базой данных радиочастотного спектра для гражданского назначения готовятся техническое заключение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Правилам;</w:t>
      </w:r>
    </w:p>
    <w:bookmarkEnd w:id="20"/>
    <w:bookmarkStart w:name="z2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 видам связи сети беспроводного радиодоступа (WLL), сотовой связи, ТВ и РВ направляет заявку на рассмотрение в уполномоченный орган. Уполномоченный орган рассматривает и направляет заявку в Государственную техническую службу и (или) Министерство обороны Республики Казахстан в течение двух рабочих дней с момента поступления заявки.";</w:t>
      </w:r>
    </w:p>
    <w:bookmarkEnd w:id="21"/>
    <w:bookmarkStart w:name="z2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дополнить пунктом 11-1 следующего содержания:</w:t>
      </w:r>
    </w:p>
    <w:bookmarkEnd w:id="22"/>
    <w:bookmarkStart w:name="z3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"11-1. В случае неправильного оформления заявки на получение Разрешения на РЧС, территориальное подразделение в течение двух рабочих дней с момента поступления заявки готовит и направляет заявителю письменный мотивированный отказ в дальнейшем рассмотрении заявки.";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 </w:t>
      </w:r>
    </w:p>
    <w:bookmarkStart w:name="z32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"12. Государственная техническая служба в течение трех рабочих дней с момента получения заявки от территориального подразделения и (или) уполномоченного органа, проводит процедуру предварительного расчета ЭМС РЭС и ВЧУ и в случае:</w:t>
      </w:r>
    </w:p>
    <w:bookmarkEnd w:id="24"/>
    <w:bookmarkStart w:name="z33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положительного результата уведомляет заявителя, территориальное подразделение и направляет заявку в уполномоченный орган;</w:t>
      </w:r>
    </w:p>
    <w:bookmarkEnd w:id="25"/>
    <w:bookmarkStart w:name="z34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отрицательного результата направляет обоснованный письменный отказ заявителю и уведомляет об этом территориальное подразделение и (или) уполномоченный орган,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10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настоящих Правил.";</w:t>
      </w:r>
    </w:p>
    <w:bookmarkEnd w:id="26"/>
    <w:bookmarkStart w:name="z35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подпункт 2) </w:t>
      </w:r>
      <w:r>
        <w:rPr>
          <w:rFonts w:ascii="Times New Roman"/>
          <w:b w:val="false"/>
          <w:i w:val="false"/>
          <w:color w:val="000000"/>
          <w:sz w:val="28"/>
        </w:rPr>
        <w:t>пункта 13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 </w:t>
      </w:r>
    </w:p>
    <w:bookmarkEnd w:id="27"/>
    <w:bookmarkStart w:name="z36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"2) после положительного результата согласования Министерства обороны, проводит процедуру международной координации РЧС с приграничными государствами в целях обеспечения бесперебойной работы РЭС и ВЧУ без помех, необходимость которой определяется по результатам проведенного предварительного расчета ЭМС РЭС и ВЧУ. </w:t>
      </w:r>
    </w:p>
    <w:bookmarkEnd w:id="28"/>
    <w:bookmarkStart w:name="z37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при расчете ЭМС РЭС и ВЧУ выявится, что планируемое к установке в приграничных зонах Республики Казахстан РЭС и ВЧУ будет оказывать помеху на РЭС и ВЧУ приграничного государства, то согласно соглашениям между сопредельными государствами и (или) Регламентом радиосвязи Международного союза электросвязи требуется проведение международной координации. В этом случае, срок рассмотрения заявки составляет не более четырех месяцев.</w:t>
      </w:r>
    </w:p>
    <w:bookmarkEnd w:id="29"/>
    <w:bookmarkStart w:name="z3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проведения международной координации РЧС с приграничными государствами уполномоченный орган предварительно направляет в течение трех рабочих дней заявителю уведомление о продлении срока рассмотрения заявления.";</w:t>
      </w:r>
    </w:p>
    <w:bookmarkEnd w:id="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14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исключить;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 </w:t>
      </w:r>
    </w:p>
    <w:bookmarkStart w:name="z4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"15. Уполномоченный орган по результату проведенных работ,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настоящих Правил, в течение пяти рабочих дней с момента поступления результатов процедуры согласований и (или) международной координации: </w:t>
      </w:r>
    </w:p>
    <w:bookmarkEnd w:id="31"/>
    <w:bookmarkStart w:name="z42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при положительных результатах процедуры согласований и международной координации, оформляет Разрешения на РЧС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Правилам, с присвоением кодов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Правилам;</w:t>
      </w:r>
    </w:p>
    <w:bookmarkEnd w:id="32"/>
    <w:bookmarkStart w:name="z43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 отрицательных результатах процедуры согласования, уполномоченный орган уведомляет об этом заявителя, территориальное подразделение, Государственную техническую службу,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10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настоящих Правил.";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27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 </w:t>
      </w:r>
    </w:p>
    <w:bookmarkStart w:name="z4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"27. Разрешение на РЧС продлевается соответствующим территориальным подразделением по месту использования РЧС ежегодно с указанием срока действия до 25 марта следующего календарного года после предоставления подтверждающего документа об уплате в государственный бюджет за прошедший год и первой части годовой платы за использование РЧС. Запись о продлении заверяется электронной цифровой подписью руководителя территориального подразделения.</w:t>
      </w:r>
    </w:p>
    <w:bookmarkEnd w:id="34"/>
    <w:bookmarkStart w:name="z4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рассмотрения заявки о продлении Разрешении на РЧС территориальным подразделением составляет не более пяти рабочих дней с момента поступления заявки.";</w:t>
      </w:r>
    </w:p>
    <w:bookmarkEnd w:id="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31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48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"31. Разрешение на РЧС переоформляется без проведения процедур,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пунктах 12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15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настоящих Правил, в случаях:</w:t>
      </w:r>
    </w:p>
    <w:bookmarkEnd w:id="36"/>
    <w:bookmarkStart w:name="z49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изменения фамилии, имени, отчества физического лица или наименования юридического лица;</w:t>
      </w:r>
    </w:p>
    <w:bookmarkEnd w:id="37"/>
    <w:bookmarkStart w:name="z50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получения (и/или переоформления) владельцем или заявителем лицензии на деятельность в области связи и телерадиовещания;</w:t>
      </w:r>
    </w:p>
    <w:bookmarkEnd w:id="38"/>
    <w:bookmarkStart w:name="z51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окончания строк для продления Разрешения на РЧС (в случае, если Разрешения на РЧС ранее было выдано в бумажном виде);</w:t>
      </w:r>
    </w:p>
    <w:bookmarkEnd w:id="39"/>
    <w:bookmarkStart w:name="z52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если юридическое лицо является правопреемником реорганизованного юридического лица; </w:t>
      </w:r>
    </w:p>
    <w:bookmarkEnd w:id="40"/>
    <w:bookmarkStart w:name="z53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если не изменились технические параметры, назначение и место установки РЭС и ВЧУ, а также, если технические параметры не превышают значения, указанные в ранее выданном разрешении;</w:t>
      </w:r>
    </w:p>
    <w:bookmarkEnd w:id="41"/>
    <w:bookmarkStart w:name="z54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перевода владельцем или заявителем Разрешения на РЧС в электронный формат (в случае соблюдения требований подпункта 5 настоящего пункта).";</w:t>
      </w:r>
    </w:p>
    <w:bookmarkEnd w:id="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33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56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"33. Для переоформления и получения дубликата Разрешения на РЧС заявителем подается заявка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настоящих Правил в электронном виде посредством Портала по месту использования РЧР.</w:t>
      </w:r>
    </w:p>
    <w:bookmarkEnd w:id="43"/>
    <w:bookmarkStart w:name="z57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заявке прилагаются следующие документы:</w:t>
      </w:r>
    </w:p>
    <w:bookmarkEnd w:id="44"/>
    <w:bookmarkStart w:name="z58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пояснительная записка; </w:t>
      </w:r>
    </w:p>
    <w:bookmarkEnd w:id="45"/>
    <w:bookmarkStart w:name="z59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копия Разрешения на РЧС (в случае получения на бумажном носителе).</w:t>
      </w:r>
    </w:p>
    <w:bookmarkEnd w:id="46"/>
    <w:bookmarkStart w:name="z60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получения Разрешения на РЧС в электронном виде (посредством портала), копия Разрешения на РЧС не требуется;</w:t>
      </w:r>
    </w:p>
    <w:bookmarkEnd w:id="47"/>
    <w:bookmarkStart w:name="z61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документ, подтверждающий уплату в государственный бюджет за использование РЧС по регионам до момента подачи заявки, в соответствии с выставленным извещением;</w:t>
      </w:r>
    </w:p>
    <w:bookmarkEnd w:id="48"/>
    <w:bookmarkStart w:name="z62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документ, подтверждающий правопреемство, - в случае реорганизации юридического лица; </w:t>
      </w:r>
    </w:p>
    <w:bookmarkEnd w:id="49"/>
    <w:bookmarkStart w:name="z63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заполненная анкета на соответствующий вид радиосвязи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(для судовых станций предоставляется заполненная анкета с указанием технических данных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Правилам).</w:t>
      </w:r>
    </w:p>
    <w:bookmarkEnd w:id="50"/>
    <w:bookmarkStart w:name="z64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переоформления Разрешений на РЧС, полученных в электронном виде (посредством портала), в соответствии с подпунктом 1) </w:t>
      </w:r>
      <w:r>
        <w:rPr>
          <w:rFonts w:ascii="Times New Roman"/>
          <w:b w:val="false"/>
          <w:i w:val="false"/>
          <w:color w:val="000000"/>
          <w:sz w:val="28"/>
        </w:rPr>
        <w:t>пункта 31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настоящих Правил, анкета на РЭС не требуется.";</w:t>
      </w:r>
    </w:p>
    <w:bookmarkEnd w:id="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35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66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"35. Уполномоченный орган в срок не более десяти рабочих дней с момента поступления заявки от территориального подразделения переоформляет Разрешения на РЧС, за исключением случаев изменения технических параметров, назначения или места установки РЭС и ВЧУ. </w:t>
      </w:r>
    </w:p>
    <w:bookmarkEnd w:id="52"/>
    <w:bookmarkStart w:name="z67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изменения технических параметров, назначения или места установки РЭС и ВЧУ переоформление Разрешения на РЧС осуществляется после прохождения процедур,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пунктах 12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15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настоящих Правил.</w:t>
      </w:r>
    </w:p>
    <w:bookmarkEnd w:id="53"/>
    <w:bookmarkStart w:name="z68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территориальное подразделение и Государственную техническую службу переоформленные Разрешения на РЧС поступают в электронном виде посредством Портала.";</w:t>
      </w:r>
    </w:p>
    <w:bookmarkEnd w:id="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37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70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"37. В случае отказа от использования РЧС, пользователь подает заявку в электронном виде посредством Портала с предоставлением следующих документов на аннулирование Разрешения на РЧС:</w:t>
      </w:r>
    </w:p>
    <w:bookmarkEnd w:id="55"/>
    <w:bookmarkStart w:name="z71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в произвольной форме с указанием причины отказа и даты аннулирования Разрешения на РЧС;</w:t>
      </w:r>
    </w:p>
    <w:bookmarkEnd w:id="56"/>
    <w:bookmarkStart w:name="z72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Разрешение на РЧС (в случае получения Разрешения на РЧС в электронном виде посредством Портала, данный документ не требуется);</w:t>
      </w:r>
    </w:p>
    <w:bookmarkEnd w:id="57"/>
    <w:bookmarkStart w:name="z73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документ, подтверждающий уплату в государственный бюджет за использование РЧС по регионам до момента подачи заявки, в соответствии с выставленным извещением.</w:t>
      </w:r>
    </w:p>
    <w:bookmarkEnd w:id="58"/>
    <w:bookmarkStart w:name="z74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правильности оформления заявки территориальное подразделение в течение двух рабочих дней с момента поступления заявки направляет заявку на рассмотрение в уполномоченный орган.</w:t>
      </w:r>
    </w:p>
    <w:bookmarkEnd w:id="59"/>
    <w:bookmarkStart w:name="z75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получения Разрешения на РЧС на бумажном носителе, заявка с предоставлением документов согласно подпунктов 1) - 3) настоящего пункта подается в территориальное подразделение по месту использование РЧР для отправки в уполномоченный орган.</w:t>
      </w:r>
    </w:p>
    <w:bookmarkEnd w:id="60"/>
    <w:bookmarkStart w:name="z76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Уполномоченный орган в срок не более десяти рабочих дней с момента поступления заявки от территориального подразделения аннулирует Разрешения на РЧС.</w:t>
      </w:r>
    </w:p>
    <w:bookmarkEnd w:id="61"/>
    <w:bookmarkStart w:name="z77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Аннулирование Разрешения на РЧС подтверждается письмом уполномоченного органа.</w:t>
      </w:r>
    </w:p>
    <w:bookmarkEnd w:id="62"/>
    <w:bookmarkStart w:name="z78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Заявителю, в территориальное подразделение и Государственную техническую службу письмо об аннулировании Разрешения на РЧС поступает в электронном виде посредством Портала.";</w:t>
      </w:r>
    </w:p>
    <w:bookmarkEnd w:id="63"/>
    <w:bookmarkStart w:name="z79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дополнить пунктом 38-1 следующего содержания:</w:t>
      </w:r>
    </w:p>
    <w:bookmarkEnd w:id="64"/>
    <w:bookmarkStart w:name="z80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"38-1. Для изъятия Разрешения на РЧС по причинам,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пункте 38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настоящих Правил, территориальное подразделение направляет ходатайство в уполномоченный орган и уведомление пользователю РЧС.";</w:t>
      </w:r>
    </w:p>
    <w:bookmarkEnd w:id="65"/>
    <w:bookmarkStart w:name="z81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заголовок </w:t>
      </w:r>
      <w:r>
        <w:rPr>
          <w:rFonts w:ascii="Times New Roman"/>
          <w:b w:val="false"/>
          <w:i w:val="false"/>
          <w:color w:val="000000"/>
          <w:sz w:val="28"/>
        </w:rPr>
        <w:t>главы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66"/>
    <w:bookmarkStart w:name="z82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"Глава 3. Порядок проведения расчета электромагнитной совместимости радиоэлектронных средств гражданского назначения";</w:t>
      </w:r>
    </w:p>
    <w:bookmarkEnd w:id="67"/>
    <w:bookmarkStart w:name="z83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заголовок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68"/>
    <w:bookmarkStart w:name="z84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"Глава 4. Порядок эксплуатации радиоэлектронных средств и высокочастотных устройств";</w:t>
      </w:r>
    </w:p>
    <w:bookmarkEnd w:id="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50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86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"50. В случае изменения территории эксплуатации РЭС и ВЧУ, замена РЭС и ВЧУ владелец либо заявитель оформляет новое разрешение на эксплуатацию РЭС и ВЧУ.</w:t>
      </w:r>
    </w:p>
    <w:bookmarkEnd w:id="70"/>
    <w:bookmarkStart w:name="z87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замены оборудования на аналогичное оборудование и сохранения технических параметров, назначение и место установки РЭС и ВЧУ переоформление разрешения на эксплуатацию РЭС и ВЧУ не требуется. </w:t>
      </w:r>
    </w:p>
    <w:bookmarkEnd w:id="71"/>
    <w:bookmarkStart w:name="z88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Территориальное подразделение выдает новое разрешение на эксплуатацию РЭС и ВЧУ в течении пяти рабочих дней после подачи владельцем заявки.";</w:t>
      </w:r>
    </w:p>
    <w:bookmarkEnd w:id="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51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исключить;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58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исключить;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приложения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19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Start w:name="z92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Комитету государственного контроля в области связи, информатизации и средств массовой информации Министерства информации и коммуникаций Республики Казахстан (А.Г. Кожихову) в установленном законодательством порядке обеспечить:</w:t>
      </w:r>
    </w:p>
    <w:bookmarkEnd w:id="73"/>
    <w:bookmarkStart w:name="z93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bookmarkEnd w:id="74"/>
    <w:bookmarkStart w:name="z94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со дня государственной регистрации настоящего приказа направление его копии в бумажном и электронном виде на казахском и русском языках в Республиканское государственное предприятие на праве хозяйственного ведения "Республиканский центр правовой информации" для официального опубликования и включения в Эталонный контрольный банк нормативных правовых актов Республики Казахстан;</w:t>
      </w:r>
    </w:p>
    <w:bookmarkEnd w:id="75"/>
    <w:bookmarkStart w:name="z95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приказа на интернет-ресурсе Министерства информации и коммуникаций Республики Казахстан.</w:t>
      </w:r>
    </w:p>
    <w:bookmarkEnd w:id="76"/>
    <w:bookmarkStart w:name="z96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приказа возложить на курирующего вице-министра информации и коммуникаций Республики Казахстан.</w:t>
      </w:r>
    </w:p>
    <w:bookmarkEnd w:id="77"/>
    <w:bookmarkStart w:name="z97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вводится в действие по истечении двадцати одного календарного дня после дня его первого официального опубликования.</w:t>
      </w:r>
    </w:p>
    <w:bookmarkEnd w:id="7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Министр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информации и коммуникаций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Республики Казахстан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 Абаев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99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"СОГЛАСОВАН"</w:t>
      </w:r>
    </w:p>
    <w:bookmarkEnd w:id="79"/>
    <w:bookmarkStart w:name="z100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Министр здравоохранения</w:t>
      </w:r>
    </w:p>
    <w:bookmarkEnd w:id="80"/>
    <w:bookmarkStart w:name="z101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Республики Казахстан</w:t>
      </w:r>
    </w:p>
    <w:bookmarkEnd w:id="81"/>
    <w:bookmarkStart w:name="z102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 Е.Биртанов</w:t>
      </w:r>
    </w:p>
    <w:bookmarkEnd w:id="82"/>
    <w:bookmarkStart w:name="z103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 сентября 2017 года</w:t>
      </w:r>
    </w:p>
    <w:bookmarkEnd w:id="83"/>
    <w:bookmarkStart w:name="z104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"СОГЛАСОВАН"</w:t>
      </w:r>
    </w:p>
    <w:bookmarkEnd w:id="84"/>
    <w:bookmarkStart w:name="z105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Министр финансов</w:t>
      </w:r>
    </w:p>
    <w:bookmarkEnd w:id="85"/>
    <w:bookmarkStart w:name="z106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Республики Казахстан</w:t>
      </w:r>
    </w:p>
    <w:bookmarkEnd w:id="86"/>
    <w:bookmarkStart w:name="z107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 Б. Султанов</w:t>
      </w:r>
    </w:p>
    <w:bookmarkEnd w:id="87"/>
    <w:bookmarkStart w:name="z108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 августа 2017 года</w:t>
      </w:r>
    </w:p>
    <w:bookmarkEnd w:id="88"/>
    <w:bookmarkStart w:name="z109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"СОГЛАСОВАН"</w:t>
      </w:r>
    </w:p>
    <w:bookmarkEnd w:id="89"/>
    <w:bookmarkStart w:name="z110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Министр обороны </w:t>
      </w:r>
    </w:p>
    <w:bookmarkEnd w:id="90"/>
    <w:bookmarkStart w:name="z111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Республики Казахстан</w:t>
      </w:r>
    </w:p>
    <w:bookmarkEnd w:id="91"/>
    <w:bookmarkStart w:name="z112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 С. Жасузаков</w:t>
      </w:r>
    </w:p>
    <w:bookmarkEnd w:id="92"/>
    <w:bookmarkStart w:name="z113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 октября 2017 года</w:t>
      </w:r>
    </w:p>
    <w:bookmarkEnd w:id="93"/>
    <w:bookmarkStart w:name="z114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"СОГЛАСОВАН"</w:t>
      </w:r>
    </w:p>
    <w:bookmarkEnd w:id="94"/>
    <w:bookmarkStart w:name="z115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Министр иностранных дел</w:t>
      </w:r>
    </w:p>
    <w:bookmarkEnd w:id="95"/>
    <w:bookmarkStart w:name="z116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Республики Казахстан</w:t>
      </w:r>
    </w:p>
    <w:bookmarkEnd w:id="96"/>
    <w:bookmarkStart w:name="z117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 К.Абдрахманов</w:t>
      </w:r>
    </w:p>
    <w:bookmarkEnd w:id="97"/>
    <w:bookmarkStart w:name="z118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 августа 2017 года</w:t>
      </w:r>
    </w:p>
    <w:bookmarkEnd w:id="98"/>
    <w:bookmarkStart w:name="z119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"СОГЛАСОВАН"</w:t>
      </w:r>
    </w:p>
    <w:bookmarkEnd w:id="99"/>
    <w:bookmarkStart w:name="z120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Председатель </w:t>
      </w:r>
    </w:p>
    <w:bookmarkEnd w:id="100"/>
    <w:bookmarkStart w:name="z121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Комитета национальной</w:t>
      </w:r>
    </w:p>
    <w:bookmarkEnd w:id="101"/>
    <w:bookmarkStart w:name="z122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безопасности</w:t>
      </w:r>
    </w:p>
    <w:bookmarkEnd w:id="102"/>
    <w:bookmarkStart w:name="z123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Республики Казахстан</w:t>
      </w:r>
    </w:p>
    <w:bookmarkEnd w:id="103"/>
    <w:bookmarkStart w:name="z124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 К.Масимов</w:t>
      </w:r>
    </w:p>
    <w:bookmarkEnd w:id="104"/>
    <w:bookmarkStart w:name="z125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 октября 2017 года</w:t>
      </w:r>
    </w:p>
    <w:bookmarkEnd w:id="105"/>
    <w:bookmarkStart w:name="z126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"СОГЛАСОВАН"</w:t>
      </w:r>
    </w:p>
    <w:bookmarkEnd w:id="106"/>
    <w:bookmarkStart w:name="z127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Министр национальной экономики</w:t>
      </w:r>
    </w:p>
    <w:bookmarkEnd w:id="107"/>
    <w:bookmarkStart w:name="z128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Республики Казахстан</w:t>
      </w:r>
    </w:p>
    <w:bookmarkEnd w:id="108"/>
    <w:bookmarkStart w:name="z129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 Т.Сулейменов</w:t>
      </w:r>
    </w:p>
    <w:bookmarkEnd w:id="109"/>
    <w:bookmarkStart w:name="z130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 сентября 2017 года</w:t>
      </w:r>
    </w:p>
    <w:bookmarkEnd w:id="1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информации и коммуникаций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июля 2017 года № 270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присвоения полос частот, радиочастот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(радиочастотных каналов), эксплуатации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радиоэлектронных средств и высокочастотных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устройств, а также проведения расчета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электромагнитной совместимости радиоэлектронных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 гражданского назначения</w:t>
            </w:r>
          </w:p>
        </w:tc>
      </w:tr>
    </w:tbl>
    <w:bookmarkStart w:name="z134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радиоэлектронных средств и высокочастотных устройств*</w:t>
      </w:r>
    </w:p>
    <w:bookmarkEnd w:id="1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41"/>
        <w:gridCol w:w="1502"/>
        <w:gridCol w:w="5726"/>
        <w:gridCol w:w="716"/>
        <w:gridCol w:w="715"/>
        <w:gridCol w:w="3200"/>
      </w:tblGrid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№
</w:t>
            </w:r>
          </w:p>
        </w:tc>
        <w:tc>
          <w:tcPr>
            <w:tcW w:w="1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Типы радиоэлектронных средств и высокочастотных средств
</w:t>
            </w:r>
          </w:p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Частотный диапазон (до)
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Допустимая мощность излучения передатчика, ЭИИМ /Напряженность поля
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Ширина используемого канала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Примечание
</w:t>
            </w:r>
          </w:p>
        </w:tc>
      </w:tr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"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12"/>
        </w:tc>
        <w:tc>
          <w:tcPr>
            <w:tcW w:w="1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"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  <w:bookmarkEnd w:id="113"/>
        </w:tc>
        <w:tc>
          <w:tcPr>
            <w:tcW w:w="1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Изделия бытовой техники, не содержащие радиоизлучающих устройств и бытовые радиоприемные устройства</w:t>
            </w:r>
          </w:p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"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  <w:bookmarkEnd w:id="114"/>
        </w:tc>
        <w:tc>
          <w:tcPr>
            <w:tcW w:w="1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Высокочастотные устройства бытового назначения</w:t>
            </w:r>
          </w:p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"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  <w:bookmarkEnd w:id="115"/>
        </w:tc>
        <w:tc>
          <w:tcPr>
            <w:tcW w:w="1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Абонентские терминалы систем беспроводного радиодоступа (WLL), сотовых сетей связи (мобильные телефоны, а также модемы, применяемые в сотовых сетях связи), в том числе встроенная либо входящая в состав других устройств.</w:t>
            </w:r>
          </w:p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"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  <w:bookmarkEnd w:id="116"/>
        </w:tc>
        <w:tc>
          <w:tcPr>
            <w:tcW w:w="1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Абонентские терминалы стандарта DECT </w:t>
            </w:r>
          </w:p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1880 – 1900 МГц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соответствии стандарта ETS–300 175, принятому Европейским институтом стандартов связи; средняя мощность передатчиков базовых и абонентских станций не должна превышать 10 мВт; коэффициент усиления антенн должен быть не более 18 дБм</w:t>
            </w:r>
          </w:p>
        </w:tc>
      </w:tr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"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  <w:bookmarkEnd w:id="117"/>
        </w:tc>
        <w:tc>
          <w:tcPr>
            <w:tcW w:w="1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Бесшнуровые телефонные аппараты (радиотелефоны) </w:t>
            </w:r>
          </w:p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814–815 / 904–905 (с шагом сетки частот 25 кГц); 2400 МГц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мВт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"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  <w:bookmarkEnd w:id="118"/>
        </w:tc>
        <w:tc>
          <w:tcPr>
            <w:tcW w:w="1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Аппаратура синхронного перевода речи (индуктивные и синхронные)</w:t>
            </w:r>
          </w:p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"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  <w:bookmarkEnd w:id="119"/>
        </w:tc>
        <w:tc>
          <w:tcPr>
            <w:tcW w:w="1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Репортажные и концертные радиомикрофоны </w:t>
            </w:r>
          </w:p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165,70; 166,10; 166,50; 167,15 МГц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мВт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"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  <w:bookmarkEnd w:id="120"/>
        </w:tc>
        <w:tc>
          <w:tcPr>
            <w:tcW w:w="1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Радиомикрофоны типа "Караоке" </w:t>
            </w:r>
          </w:p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66–74 МГц; 97,5–92 МГц; 87,5–92 МГц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мВт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"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  <w:bookmarkEnd w:id="121"/>
        </w:tc>
        <w:tc>
          <w:tcPr>
            <w:tcW w:w="1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Репортажные и концертные радиомикрофоны </w:t>
            </w:r>
          </w:p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151–216 МГц; 175–230; 470–638; 710–726 МГц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мВт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"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  <w:bookmarkEnd w:id="122"/>
        </w:tc>
        <w:tc>
          <w:tcPr>
            <w:tcW w:w="1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Средства индуктивной телефонной связи, телеконтроля и сигнализации, кабельные вещательные и промышленные высокочастотные телевизионные системы, в том числе используемые в шахтах</w:t>
            </w:r>
          </w:p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"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  <w:bookmarkEnd w:id="123"/>
        </w:tc>
        <w:tc>
          <w:tcPr>
            <w:tcW w:w="15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Устройства охранной радиосигнализации автомашин</w:t>
            </w:r>
          </w:p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(26,960 МГц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2 Вт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433,073–434,790 МГц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мВт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"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  <w:bookmarkEnd w:id="124"/>
        </w:tc>
        <w:tc>
          <w:tcPr>
            <w:tcW w:w="1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Устройства дистанционного управления охранной сигнализации и оповещения </w:t>
            </w:r>
          </w:p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433,075–434,79 МГц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мВт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"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  <w:bookmarkEnd w:id="125"/>
        </w:tc>
        <w:tc>
          <w:tcPr>
            <w:tcW w:w="1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Аппаратура радиоуправления моделями (самолетов, катеров и т.п.) </w:t>
            </w:r>
          </w:p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28,0–28,2 МГц; 40,66–40,70 МГц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мВт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"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  <w:bookmarkEnd w:id="126"/>
        </w:tc>
        <w:tc>
          <w:tcPr>
            <w:tcW w:w="1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Детские радиопереговорные устройства и радиоуправляемые игрушки </w:t>
            </w:r>
          </w:p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26957–27283 кГц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мВт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"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</w:t>
            </w:r>
          </w:p>
          <w:bookmarkEnd w:id="127"/>
        </w:tc>
        <w:tc>
          <w:tcPr>
            <w:tcW w:w="1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Радиоэлектронные средства для обработки штрихкодовых этикеток и передачи информации, полученной с этих этикеток </w:t>
            </w:r>
          </w:p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 МГц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мВт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"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</w:t>
            </w:r>
          </w:p>
          <w:bookmarkEnd w:id="128"/>
        </w:tc>
        <w:tc>
          <w:tcPr>
            <w:tcW w:w="1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Слухоречевые радиотренажеры для людей с дефектами слуха</w:t>
            </w:r>
          </w:p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мВт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"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</w:t>
            </w:r>
          </w:p>
          <w:bookmarkEnd w:id="129"/>
        </w:tc>
        <w:tc>
          <w:tcPr>
            <w:tcW w:w="1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Радиоэлектронные средства, используемые внутри офисных, складских зданий (считыватели, измерители и т.п.)</w:t>
            </w:r>
          </w:p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 мВт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"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130"/>
        </w:tc>
        <w:tc>
          <w:tcPr>
            <w:tcW w:w="1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РЭС СВ – диапазона (27 МГц)</w:t>
            </w:r>
          </w:p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26970–27410;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27410–27860 кГц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" w:id="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131"/>
        </w:tc>
        <w:tc>
          <w:tcPr>
            <w:tcW w:w="15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Маломощные носимые РЭС мощностью до 2 Вт</w:t>
            </w:r>
          </w:p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151,625; 159,775; 433.075–434.775; 462,5625; 462,5875; 462,6125; 462,6375; 467,5625; 467,5875; 467,6125; 467,6375;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467,6625; 467,6875;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467,7125 МГц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2Вт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433.075–434.775 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10 мВт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446.000–446.100 (PMR) 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до 500 мВт.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"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132"/>
        </w:tc>
        <w:tc>
          <w:tcPr>
            <w:tcW w:w="1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Абонентские устройства охранно–пожарной радиосигнализаций </w:t>
            </w:r>
          </w:p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Вт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" w:id="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bookmarkEnd w:id="133"/>
        </w:tc>
        <w:tc>
          <w:tcPr>
            <w:tcW w:w="1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SRD – устройства малого радиуса действия </w:t>
            </w:r>
          </w:p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Неспециализированные SRD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Телеметрия (отображение или запись информации на расстоянии),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телеуправление (передача сигналов дистанционного управления),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сигнализация (сообщения о возникновении условий срабатывания прибора охранной сигнализации, бытовая сигнализация неотложной помощи, передача голосового и видео сигналов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6765–6795 кГц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 дБмкА/м на расстоянии 10 м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13.553–13.567 МГц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 дБмкА/м на расстоянии 10 м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26.957–27.283 МГц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42 дБмкА/м на расстоянии 10 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10 мВт 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40.660–40.700 МГц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10 мВт 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138.20–138.45 МГц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10 мВт 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&lt;1% рабочий цикл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433.040–434.790 МГц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10 мВт 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25 кГц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&lt;10% рабочий цикл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863 до 868 МГц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≤ 25 мВт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≤ 100 кГц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&lt;10% рабочий цикл или LBT (Listen Before Talk) + AFA (Adaptive Frequency Agility)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Узко/широкополосная модуляция.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2400.0–2483.5 МГц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10 мВт 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5725–5875 МГц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25 мВт 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24.00–24.25 ГГц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100 мВт 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61.0–61.5 ГГц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100 мВт 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122–123 ГГц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100 мВт 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244–246 ГГц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100 мВт 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" w:id="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bookmarkEnd w:id="134"/>
        </w:tc>
        <w:tc>
          <w:tcPr>
            <w:tcW w:w="15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SRD (слежение, считывание счетчиков, сбор данных)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Устройства для обнаружения людей под лавиной</w:t>
            </w:r>
          </w:p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456.9–457.1 кГц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дБмкА/м на расстоянии 10 м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Непрерывная волна (CW) – без модуляции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Обнаружение жертв лавины.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Примечание: Средняя частота 475 кГц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169.4–169.475 МГц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500 мВт 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Максимум 50 кГц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&lt;10% рабочий цикл. Показания счетчика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169.4–169.475 МГц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500 мВт 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Максимум 50 кГц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&lt;1% рабочий цикл. Отслеживание и трассировка</w:t>
            </w:r>
          </w:p>
        </w:tc>
      </w:tr>
      <w:tr>
        <w:trPr>
          <w:trHeight w:val="30" w:hRule="atLeast"/>
        </w:trPr>
        <w:tc>
          <w:tcPr>
            <w:tcW w:w="4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" w:id="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  <w:bookmarkEnd w:id="135"/>
        </w:tc>
        <w:tc>
          <w:tcPr>
            <w:tcW w:w="15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SRD (широкополосные системы передачи данных)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WAS/RLAN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Системы передачи данных\ локальные радиосети</w:t>
            </w:r>
          </w:p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2400.0–2483.5 МГц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100 мВт 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широкополосных видов модуляции, кроме ППРЧ (FSSH).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5150–5350 МГц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200 мВт / максимальная спектральная плотность 10 мВт на 1 МГц 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Только для использования внутри здания.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5470–5725 МГц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100 мВт / максимальная спектральная плотность 10 мВт на 1 МГц 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Только для использования внутри здания.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5725-5850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100 мВт / максимальная спектральная плотность 10 мВт на 1 МГц 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Только для использования внутри здания.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17.1–17.3 ГГц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100 мВт 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57–66 ГГц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40 dBm 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Фиксированная установка вне здания не допускается. Максимальная средняя плотность должна быть ограничена до 13 дБм/ МГц</w:t>
            </w:r>
          </w:p>
        </w:tc>
      </w:tr>
      <w:tr>
        <w:trPr>
          <w:trHeight w:val="30" w:hRule="atLeast"/>
        </w:trPr>
        <w:tc>
          <w:tcPr>
            <w:tcW w:w="4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" w:id="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  <w:bookmarkEnd w:id="136"/>
        </w:tc>
        <w:tc>
          <w:tcPr>
            <w:tcW w:w="15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SRD (железнодорожные применения – Автоматическая идентификация транспортных средств (AVI), Система путевых датчиков, контурная система)</w:t>
            </w:r>
          </w:p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2446–2454 МГц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200 мВт 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только в присутствии поездов. 5 каналов, каждый шириной 1.5 МГц в пределах 2446–2454 МГц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27.090 – 27.100 МГц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 дБмкА/м на расстоянии 10 м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Используется как сигнал Tele–powering и передачи данных вниз (Down–link) для Бализ/Евробализ (точечный путевой датчик). Также может быть использовано для активации Loop/Euroloop.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Центральная частота 27,095 МГц</w:t>
            </w:r>
          </w:p>
        </w:tc>
      </w:tr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984 – 7484 кГц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дБмкА/м на расстоянии 10 м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&lt;1% рабочего цикла. Передача только по получении сигнала Tele–powering Бализ/Евробализ (точечный путевой датчик) с поезда.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Центральная частота 4234 кГц</w:t>
            </w:r>
          </w:p>
        </w:tc>
      </w:tr>
      <w:tr>
        <w:trPr>
          <w:trHeight w:val="30" w:hRule="atLeast"/>
        </w:trPr>
        <w:tc>
          <w:tcPr>
            <w:tcW w:w="4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 – 8516 кГц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дБмкА/м на расстоянии 10 м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7.3 – 23.0 МГц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–7 дБмкА/м на расстоянии 10 м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Максимальная напряженность поля указана в полосе 10 кГц найденная путем выведения среднего значение на каждые 200 м протяженности петли.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только в присутствии поездов.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Расширение спектра сигнала, длина кода: 472 чипа.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Центральная частота 13,547 МГц</w:t>
            </w:r>
          </w:p>
        </w:tc>
      </w:tr>
      <w:tr>
        <w:trPr>
          <w:trHeight w:val="30" w:hRule="atLeast"/>
        </w:trPr>
        <w:tc>
          <w:tcPr>
            <w:tcW w:w="4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" w:id="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</w:t>
            </w:r>
          </w:p>
          <w:bookmarkEnd w:id="137"/>
        </w:tc>
        <w:tc>
          <w:tcPr>
            <w:tcW w:w="15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SRD (интегрированные средства передачи и обработки информации для автомобильного транспорта и управления дорожным движением (RTTT))</w:t>
            </w:r>
          </w:p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76–77 ГГц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55 dBm 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Уровень мощности: 55 дБм – пиковая мощность, 50 дБм – средняя мощность, 23,5 дБм – средняя мощность только для импульсного радара.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Промышленные и транспортные радиолокационные системы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24.050–24.075 ГГц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100 мВт 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радаров транспортных средств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24.075–24.150 ГГц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0.1мВт 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радаров транспортных средств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100 мВт 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радаров транспортных средств.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Требование смягчения и доступа спектра приведены для устройств, установленных позади бампера.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установка без бампера, требование должно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быть 3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17500" cy="368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" cy="36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/40кГц максимальное время задержки каждые 3 мс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24.150–24.250 ГГц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100мВт 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радаров транспортных средств</w:t>
            </w:r>
          </w:p>
        </w:tc>
      </w:tr>
      <w:tr>
        <w:trPr>
          <w:trHeight w:val="30" w:hRule="atLeast"/>
        </w:trPr>
        <w:tc>
          <w:tcPr>
            <w:tcW w:w="4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" w:id="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26.</w:t>
            </w:r>
          </w:p>
          <w:bookmarkEnd w:id="138"/>
        </w:tc>
        <w:tc>
          <w:tcPr>
            <w:tcW w:w="15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SRD (радиоопределение)</w:t>
            </w:r>
          </w:p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2400.0–2483.5 МГц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25 мВт 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9200–9500 МГц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25 мВт 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9500–9975 МГц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25 мВт 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10.5–10.6 ГГц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500 мВт 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13.4–14.0 ГГц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25 мВт 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24.05–24.25 ГГц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100 мВт 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4.5–7.0 ГГц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–41.3 dBm/МГц 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Радиодатчик измерения уровня жидкости в резервуаре (TLPR)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8.5–10.6 ГГц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–41.3 dBm/МГц 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Радиодатчик измерения уровня жидкости в резервуаре (TLPR)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24.05–27.00 ГГц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–41.3 dBm/МГц 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Радиодатчик измерения уровня жидкости в резервуаре (TLPR)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57–64 ГГц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–41.3 dBm/МГц 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Радиодатчик измерения уровня жидкости в резервуаре (TLPR)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75–85 ГГц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–41.3 dBm/МГц 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Радиодатчик измерения уровня жидкости в резервуаре (TLPR)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17.1–17.3 ГГц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+26 dBm 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Наземные радиолокаторы с синтезированной апертурой антенны (GBSAR)</w:t>
            </w:r>
          </w:p>
        </w:tc>
      </w:tr>
      <w:tr>
        <w:trPr>
          <w:trHeight w:val="30" w:hRule="atLeast"/>
        </w:trPr>
        <w:tc>
          <w:tcPr>
            <w:tcW w:w="4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" w:id="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27.</w:t>
            </w:r>
          </w:p>
          <w:bookmarkEnd w:id="139"/>
        </w:tc>
        <w:tc>
          <w:tcPr>
            <w:tcW w:w="15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SRD (Оборудование для обнаружения движения и оборудование для сигнализации) </w:t>
            </w:r>
          </w:p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868.6–869 МГц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мВт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кГц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Социально–бытовые устройства тревожной сигнализации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169.4750–169.4875 МГц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мВт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кГц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Социально–бытовые устройства тревожной сигнализации (специальный)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169.5875–169.6000 МГц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мВт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кГц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Социально–бытовые устройства тревожной сигнализации (специальный)</w:t>
            </w:r>
          </w:p>
        </w:tc>
      </w:tr>
      <w:tr>
        <w:trPr>
          <w:trHeight w:val="30" w:hRule="atLeast"/>
        </w:trPr>
        <w:tc>
          <w:tcPr>
            <w:tcW w:w="4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" w:id="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</w:t>
            </w:r>
          </w:p>
          <w:bookmarkEnd w:id="140"/>
        </w:tc>
        <w:tc>
          <w:tcPr>
            <w:tcW w:w="15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SRD (управление моделями)</w:t>
            </w:r>
          </w:p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26.995, 27.045, 27.095, 27.145, 27.195 МГц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 мВт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кГц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34.995–35.225 МГц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100 мВт 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кГц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Только для летающих моделей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40.665, 40.675, 40.685, 40.695 МГц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100 мВт 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кГц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" w:id="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29.</w:t>
            </w:r>
          </w:p>
          <w:bookmarkEnd w:id="141"/>
        </w:tc>
        <w:tc>
          <w:tcPr>
            <w:tcW w:w="15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SRD (индукционные применения) </w:t>
            </w:r>
          </w:p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9 – 90 кГц 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 дБмкА/м на расстоянии 10 м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использования внешних антенн могут быть использованы только рамочные антенны. Уровень напряженности поля по убыванию 3 дБ / окт на 30 кГц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90–119 кГц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 дБмкА/м на расстоянии 10 м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использования внешних антенн могут быть использованы только рамочные антенны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119–135 кГц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 дБмкА/м на расстоянии 10 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использования внешних антенн могут быть использованы только рамочные антенны. Уровень напряженности поля по убыванию 3 дБ / окт на 119 кГц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135–140 кГц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 дБмкА/м на расстоянии 10 м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использования внешних антенн могут быть использованы только рамочные антенны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140–148.5 кГц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37.7 дБмкА/м на расстоянии 10 м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использования внешних антенн могут быть использованы только рамочные антенны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6765–6795 кГц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 дБмкА/м на расстоянии 10 м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7400–8800 кГц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дБмкА/м на расстоянии 10 м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13.553–13.567 МГц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 дБмкА/м на расстоянии 10 м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13.553–13.567 МГц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 дБмкА/м на расстоянии 10 м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Только для RFID (радиочастотная идентификация) и EАS (противокражная система)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26.957–27.283 МГц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 дБмкА/м на расстоянии 10 м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10.200–11.000 МГц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дБмкА/м на расстоянии 10 м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3155–3400 кГц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13.5 дБмкА/м на расстоянии 10 м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использования внешних антенн могут быть использованы только рамочные антенны</w:t>
            </w:r>
          </w:p>
        </w:tc>
      </w:tr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148.5 кГц – 5 МГц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–15 дБмкА/м на расстоянии 10 м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использования внешних антенн могут быть использованы только рамочные антенны.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Максимальная напряженность поля установлена для полосы шириной в 10 кГц. Максимально допустимая общая напряженность поля –5 дБмкА / м на расстоянии 10 м для систем, работающих на полосах шире 10 кГц в тоже время сохраняя предел по плотности (–15 дБмкА / м для полосы шириной 10 кГц)</w:t>
            </w:r>
          </w:p>
        </w:tc>
      </w:tr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– 30 МГц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–20 дБмкА/м на расстоянии 10 м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использования внешних антенн могут быть использованы только рамочные антенны.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Максимальная напряженность поля установлена для полосы шириной в 10 кГц. Максимально допустимая общая напряженность поля –5 дБмкА / м на расстоянии 10 м для систем, работающих на полосах шире 10 кГц в тоже время сохраняя предел по плотности (–20 дБмкА / м для полосы шириной 10 кГц)</w:t>
            </w:r>
          </w:p>
        </w:tc>
      </w:tr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 – 600 кГц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–8 дБмкА/м на расстоянии 10 м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Только для RFID.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использования внешних антенн могут быть использованы только рамочные антенны.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Максимальная напряженность поля установлена для полосы шириной в 10 кГц. Максимально допустимая общая напряженность поля –5 дБмкА / м на расстоянии 10 м для систем, работающих на полосах шире 10 кГц в тоже время сохраняя предел по плотности (–8 дБмкА / м для полосы шириной 10 кГц).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Эти системы должны работать с минимальной полосой частот 30 кГц</w:t>
            </w:r>
          </w:p>
        </w:tc>
      </w:tr>
      <w:tr>
        <w:trPr>
          <w:trHeight w:val="30" w:hRule="atLeast"/>
        </w:trPr>
        <w:tc>
          <w:tcPr>
            <w:tcW w:w="4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" w:id="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</w:t>
            </w:r>
          </w:p>
          <w:bookmarkEnd w:id="142"/>
        </w:tc>
        <w:tc>
          <w:tcPr>
            <w:tcW w:w="15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SRD (радиомикрофоны и оборудование для улучшения слуха)</w:t>
            </w:r>
          </w:p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173.965–174.015 МГц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 мВт 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кГц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Приспособления для людей с нарушениями слуха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863–865 МГц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10 мВт 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" w:id="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31.</w:t>
            </w:r>
          </w:p>
          <w:bookmarkEnd w:id="143"/>
        </w:tc>
        <w:tc>
          <w:tcPr>
            <w:tcW w:w="15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SRD (применения радиочастотной идентификации)</w:t>
            </w:r>
          </w:p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2446–2454 МГц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&gt;200 мВт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Уровни мощности выше 500 мВт ограничены для использования внутри границ здания и рабочий цикл всех передач должны в этом случае быть ≤ 15% в любом 200 мс интервале периода (30 мс включенном / 170 мс в выключенном состоянии).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865.0–868.0 МГц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 мВт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200 кГц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" w:id="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32.</w:t>
            </w:r>
          </w:p>
          <w:bookmarkEnd w:id="144"/>
        </w:tc>
        <w:tc>
          <w:tcPr>
            <w:tcW w:w="15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Беспроводные применения в медицине (Активные медицинские имплантаты)</w:t>
            </w:r>
          </w:p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9–315 кГц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дБмкА/м на расстоянии 10 м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Используется для Систем активных медицинских имплантатов со сверхнизким энергопотреблением, использующих методы индуктивного цикла в целях телеметрии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315–600 кГц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–5 дБмкА/м на расстоянии 10 м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Используется для устройств имплантируюмых в животных</w:t>
            </w:r>
          </w:p>
        </w:tc>
      </w:tr>
      <w:tr>
        <w:trPr>
          <w:trHeight w:val="30" w:hRule="atLeast"/>
        </w:trPr>
        <w:tc>
          <w:tcPr>
            <w:tcW w:w="4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30–37.5 МГц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мВт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Используется для медицинских мембранных имплантатов измерения артериального давления со сверхнизким энергопотреблением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12.5–20 МГц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–7 дБмкА/м на расстоянии 10 м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Используется для активных устройств имплантируюмых в животных со сверхнизким энергопотреблением (УИЖ–СНЭ), ограничено для импользования внутри помещения. Максимальная напряженность поля указана в полосе 10 кГц.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Маска передачи УИЖ–СНЭ определяется следующим образом: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• 3 дБ для полосы шириной 300 кГц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• 10 дБ для полосы шириной 800 кГц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• 20 дБ для полосы шириной 2 МГц</w:t>
            </w:r>
          </w:p>
        </w:tc>
      </w:tr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2483.5–2500 МГц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дБм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Для активных медицинских имплантантов и связанных с ними периферий со сверхнизким энергопотреблением, охватываемых подходящим унифицированным стандартом.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Индивидуальные передатчики могут объединять соседние каналы на динамичной основе для увеличения пропускной способности выше, чем 1 МГц. Периферийные устройства предназначены для использования только внутри помещений</w:t>
            </w:r>
          </w:p>
        </w:tc>
      </w:tr>
      <w:tr>
        <w:trPr>
          <w:trHeight w:val="30" w:hRule="atLeast"/>
        </w:trPr>
        <w:tc>
          <w:tcPr>
            <w:tcW w:w="4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" w:id="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33.</w:t>
            </w:r>
          </w:p>
          <w:bookmarkEnd w:id="145"/>
        </w:tc>
        <w:tc>
          <w:tcPr>
            <w:tcW w:w="15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Беспроводные аудиоприменения</w:t>
            </w:r>
          </w:p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863–865 МГц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мВт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Устройства передачи потока мультимедии и беспроводного аудио.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1795–1800 МГц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мВт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87.5–108.0 МГц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50 мВт 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 кГц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" w:id="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34.</w:t>
            </w:r>
          </w:p>
          <w:bookmarkEnd w:id="146"/>
        </w:tc>
        <w:tc>
          <w:tcPr>
            <w:tcW w:w="1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Радиоприемные средства, не содержащие радиоизлучающих устройств систем спутниковой навигации (ГЛОНАСС, GPS), в том числе встроенные либо входящие в состав других устройств</w:t>
            </w:r>
          </w:p>
        </w:tc>
        <w:tc>
          <w:tcPr>
            <w:tcW w:w="5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39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основные сокращения, указанные в перечне:</w:t>
      </w:r>
    </w:p>
    <w:bookmarkEnd w:id="147"/>
    <w:bookmarkStart w:name="z240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* Радиоэлектронные средства и высокочастотные устройства, на эксплуатацию которых не требуются разрешительные документы. </w:t>
      </w:r>
    </w:p>
    <w:bookmarkEnd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Также, при эксплуатации радиоэлектронные средства и высокочастотные устройства, указанные в Перечне, не должны создавать радиопомехи РЭС и ВЧУ, работающим на основании разрешительных документов в соответствии с Национальной таблицей, а их пользователи требовать защиты от помех;</w:t>
      </w:r>
    </w:p>
    <w:bookmarkStart w:name="z241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SRD – System Reference Document;</w:t>
      </w:r>
    </w:p>
    <w:bookmarkEnd w:id="149"/>
    <w:bookmarkStart w:name="z242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дБм – децибел-милливатт;</w:t>
      </w:r>
    </w:p>
    <w:bookmarkEnd w:id="150"/>
    <w:bookmarkStart w:name="z243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WLL – wireless local loop (система беспроводного радиодоступа); </w:t>
      </w:r>
    </w:p>
    <w:bookmarkEnd w:id="151"/>
    <w:bookmarkStart w:name="z244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DECT – Digital Enhanced Cordiess Telecommunication.</w:t>
      </w:r>
    </w:p>
    <w:bookmarkEnd w:id="152"/>
    <w:bookmarkStart w:name="z245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ГГц – гегагерц;</w:t>
      </w:r>
    </w:p>
    <w:bookmarkEnd w:id="153"/>
    <w:bookmarkStart w:name="z246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МГЦ – мегагерц;</w:t>
      </w:r>
    </w:p>
    <w:bookmarkEnd w:id="154"/>
    <w:bookmarkStart w:name="z247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GBSAR – Ground-based Syntkhetic Aperture Radar (наземные радиолокаторы с синтезированной апертурой антенны);</w:t>
      </w:r>
    </w:p>
    <w:bookmarkEnd w:id="155"/>
    <w:bookmarkStart w:name="z248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мВт – миливат;</w:t>
      </w:r>
    </w:p>
    <w:bookmarkEnd w:id="156"/>
    <w:bookmarkStart w:name="z249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ЭИИМ – эффективная изотропно излучаемая мощность;</w:t>
      </w:r>
    </w:p>
    <w:bookmarkEnd w:id="157"/>
    <w:bookmarkStart w:name="z250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кГц – килогерц;</w:t>
      </w:r>
    </w:p>
    <w:bookmarkEnd w:id="158"/>
    <w:bookmarkStart w:name="z251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ГЛОНАСС – Глобальная навигационная спутниковая система;</w:t>
      </w:r>
    </w:p>
    <w:bookmarkEnd w:id="159"/>
    <w:bookmarkStart w:name="z252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GPS – Global Position System (система глобального позиционирования).</w:t>
      </w:r>
    </w:p>
    <w:bookmarkEnd w:id="16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информации и коммуникаций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июля 2017 года № 270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присвоения полос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частот, радиочастот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(радиочастотных каналов),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эксплуатации радиоэлектронных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 и высокочастотных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устройств, а также проведения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расчета электромагнитной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совместимости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радиоэлектронных средств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гражданского назначения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Форма </w:t>
            </w:r>
          </w:p>
        </w:tc>
      </w:tr>
    </w:tbl>
    <w:bookmarkStart w:name="z257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территориальное подразделение уполномоченного органа / государственную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                         техническую службу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 От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 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 (полное наименование юридического лица или фамилия, имя, отчество (при наличий)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 физического лица)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                               </w:t>
      </w:r>
      <w:r>
        <w:rPr>
          <w:rFonts w:ascii="Times New Roman"/>
          <w:b/>
          <w:i w:val="false"/>
          <w:color w:val="000000"/>
          <w:sz w:val="28"/>
        </w:rPr>
        <w:t>ЗАЯВКА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 Прошу выдать разрешение на использование радиочастотного спектра /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 эксплуатацию радиоэлектронного средства (высокочастотного устройства)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 территории / заключения на электромагнитную совместимость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 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             ( указать город, район, область Республики Казахстан)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 Сведения об организации: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 1. Форма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 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 2. Год создания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 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 3. Адрес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 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             ( почтовый индекс, область, район, улица, № дома, телефон)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 4. Контактные данные заявителя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 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 (Фамилия, имя, отчество (при наличий) исполнителя, рабочий телефон,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 адрес)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 5. Расчетный счет 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                         ( № счета, наименование и местонахождение банка)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 6. Банковские реквизиты 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 7. БИН/ИИН 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 8. Тип деятельности 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                   (номер и серия лицензии, в случае лицензионной деятельности)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 9. Перечень прилагаемых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 Руководитель ________________             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                   (подпись)             (Фамилия, имя, отчество (при наличий))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 М.П. "____" __________________20___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 Заявление получено: "___" _________________20___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 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       (подпись ответственного лица, фамилия, имя, отчество (при наличий))</w:t>
      </w:r>
    </w:p>
    <w:bookmarkEnd w:id="16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информации и коммуникаций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июля 2017 года № 270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присвоения полос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частот, радиочастот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(радиочастотных каналов),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эксплуатации радиоэлектронных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 и высокочастотных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устройств, а также проведения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расчета электромагнитной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совместимости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радиоэлектронных средств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назначения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1-БС</w:t>
            </w:r>
          </w:p>
        </w:tc>
      </w:tr>
    </w:tbl>
    <w:bookmarkStart w:name="z261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       </w:t>
      </w:r>
      <w:r>
        <w:rPr>
          <w:rFonts w:ascii="Times New Roman"/>
          <w:b/>
          <w:i w:val="false"/>
          <w:color w:val="000000"/>
          <w:sz w:val="28"/>
        </w:rPr>
        <w:t>Анкета на базовую станцию сотовой связи (2G, 3G, 4G)</w:t>
      </w:r>
    </w:p>
    <w:bookmarkEnd w:id="1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8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8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9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4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0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Приложение: Нормированные диаграммы направленности антенны в горизонтальной/вертикальной плоскостях в формате Planet, нормированная АЧХ приемопередатчика, сетка частот.</w:t>
      </w:r>
    </w:p>
    <w:bookmarkEnd w:id="163"/>
    <w:bookmarkStart w:name="z341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4"/>
    <w:p>
      <w:pPr>
        <w:spacing w:after="0"/>
        <w:ind w:left="0"/>
        <w:jc w:val="both"/>
      </w:pPr>
      <w:r>
        <w:drawing>
          <wp:inline distT="0" distB="0" distL="0" distR="0">
            <wp:extent cx="7810500" cy="236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6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основные сокращения, указанные в перечне анкеты на базовую станцию сотовой связи:</w:t>
      </w:r>
    </w:p>
    <w:bookmarkEnd w:id="165"/>
    <w:bookmarkStart w:name="z347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 - обязательные поля к заполнению;</w:t>
      </w:r>
    </w:p>
    <w:bookmarkEnd w:id="166"/>
    <w:bookmarkStart w:name="z348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АФУ – антенно-фидерное устройство;</w:t>
      </w:r>
    </w:p>
    <w:bookmarkEnd w:id="167"/>
    <w:bookmarkStart w:name="z349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АЧХ – амплитудно-частотная характеристика;</w:t>
      </w:r>
    </w:p>
    <w:bookmarkEnd w:id="168"/>
    <w:bookmarkStart w:name="z350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Вт – ватт;</w:t>
      </w:r>
    </w:p>
    <w:bookmarkEnd w:id="169"/>
    <w:bookmarkStart w:name="z351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С.Ш. и В.Д – северной широты и восточной долготы;</w:t>
      </w:r>
    </w:p>
    <w:bookmarkEnd w:id="170"/>
    <w:bookmarkStart w:name="z352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град. – градус;</w:t>
      </w:r>
    </w:p>
    <w:bookmarkEnd w:id="171"/>
    <w:bookmarkStart w:name="z353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дБ – децибел;</w:t>
      </w:r>
    </w:p>
    <w:bookmarkEnd w:id="172"/>
    <w:bookmarkStart w:name="z354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дБи – изотропный децибел;</w:t>
      </w:r>
    </w:p>
    <w:bookmarkEnd w:id="173"/>
    <w:bookmarkStart w:name="z355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 – метр;</w:t>
      </w:r>
    </w:p>
    <w:bookmarkEnd w:id="174"/>
    <w:bookmarkStart w:name="z356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мкВ – микровольт;</w:t>
      </w:r>
    </w:p>
    <w:bookmarkEnd w:id="175"/>
    <w:bookmarkStart w:name="z357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РЭС – радиоэлектронное средство;</w:t>
      </w:r>
    </w:p>
    <w:bookmarkEnd w:id="176"/>
    <w:bookmarkStart w:name="z358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BCC- Base station Colour Code (Цветовой код базовой станции);</w:t>
      </w:r>
    </w:p>
    <w:bookmarkEnd w:id="177"/>
    <w:bookmarkStart w:name="z359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BSIC – Base Station Identity Code (Идентификационный номер базовой станций);</w:t>
      </w:r>
    </w:p>
    <w:bookmarkEnd w:id="178"/>
    <w:bookmarkStart w:name="z360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CDMA – Code Division Multiple Access (Множественный доступ с кодовым разделением);</w:t>
      </w:r>
    </w:p>
    <w:bookmarkEnd w:id="179"/>
    <w:bookmarkStart w:name="z361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Cell ID - Cell Identifier (Идентификатор соты. Указывается для стандартов GSM и LTE);</w:t>
      </w:r>
    </w:p>
    <w:bookmarkEnd w:id="180"/>
    <w:bookmarkStart w:name="z362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GSM – Global System for Mobile Communications (Глобальная система мобильной связи);</w:t>
      </w:r>
    </w:p>
    <w:bookmarkEnd w:id="181"/>
    <w:bookmarkStart w:name="z363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LAC - Location Area Code (Код местности. Указывается только для стандартов GSM и UMTS); </w:t>
      </w:r>
    </w:p>
    <w:bookmarkEnd w:id="182"/>
    <w:bookmarkStart w:name="z364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LAI- Location Area Identification (Идентификатор местоположения);</w:t>
      </w:r>
    </w:p>
    <w:bookmarkEnd w:id="183"/>
    <w:bookmarkStart w:name="z365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LTE - fourth generation (четвертое поколение сотовой связи);</w:t>
      </w:r>
    </w:p>
    <w:bookmarkEnd w:id="184"/>
    <w:bookmarkStart w:name="z366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MCC - Mobile Country Code (Код страны);</w:t>
      </w:r>
    </w:p>
    <w:bookmarkEnd w:id="185"/>
    <w:bookmarkStart w:name="z367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MNC - Mobile Network Code (Код мобильной сети. Указывается для всех стандартов);</w:t>
      </w:r>
    </w:p>
    <w:bookmarkEnd w:id="186"/>
    <w:bookmarkStart w:name="z368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NCC- Network Colour Code (Цветовой код сети);</w:t>
      </w:r>
    </w:p>
    <w:bookmarkEnd w:id="187"/>
    <w:bookmarkStart w:name="z369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SAC - Service Area Code (Код зоны обслуживания. Указывается для стандарта UMTS);</w:t>
      </w:r>
    </w:p>
    <w:bookmarkEnd w:id="188"/>
    <w:bookmarkStart w:name="z370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TAC - Tracking Area Code (Код зоны отслеживания. Указывается только для стандарта LTE);</w:t>
      </w:r>
    </w:p>
    <w:bookmarkEnd w:id="189"/>
    <w:bookmarkStart w:name="z371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UMTS – Universal Mobile Telecommunications System (Универсальная мобильная телекоммуникационная система).</w:t>
      </w:r>
    </w:p>
    <w:bookmarkEnd w:id="19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информации и коммуникаций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июля 2017 года № 270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присвоения полос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частот, радиочастот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(радиочастотных каналов),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эксплуатации радиоэлектронных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 и высокочастотных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устройств, а также проведения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расчета электромагнитной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совместимости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радиоэлектронных средств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гражданского назначения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1- СПС</w:t>
            </w:r>
          </w:p>
        </w:tc>
      </w:tr>
    </w:tbl>
    <w:bookmarkStart w:name="z375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             </w:t>
      </w:r>
      <w:r>
        <w:rPr>
          <w:rFonts w:ascii="Times New Roman"/>
          <w:b/>
          <w:i w:val="false"/>
          <w:color w:val="000000"/>
          <w:sz w:val="28"/>
        </w:rPr>
        <w:t>Анкета на стационарное радиоэлектронное средство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                               </w:t>
      </w:r>
      <w:r>
        <w:rPr>
          <w:rFonts w:ascii="Times New Roman"/>
          <w:b/>
          <w:i w:val="false"/>
          <w:color w:val="000000"/>
          <w:sz w:val="28"/>
        </w:rPr>
        <w:t>системы подвижной связи</w:t>
      </w:r>
    </w:p>
    <w:bookmarkEnd w:id="1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5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43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794"/>
        <w:gridCol w:w="2625"/>
        <w:gridCol w:w="2477"/>
        <w:gridCol w:w="2702"/>
        <w:gridCol w:w="2702"/>
      </w:tblGrid>
      <w:tr>
        <w:trPr>
          <w:trHeight w:val="30" w:hRule="atLeast"/>
        </w:trPr>
        <w:tc>
          <w:tcPr>
            <w:tcW w:w="1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8" w:id="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(сектора)</w:t>
            </w:r>
          </w:p>
          <w:bookmarkEnd w:id="192"/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2-e.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Производитель антенны</w:t>
            </w:r>
          </w:p>
        </w:tc>
        <w:tc>
          <w:tcPr>
            <w:tcW w:w="2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2-f.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Модель антенны</w:t>
            </w:r>
          </w:p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2-g.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Коэффициент усиления, дБи</w:t>
            </w:r>
          </w:p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2-h.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Азимут макс. излучения, град</w:t>
            </w:r>
          </w:p>
        </w:tc>
      </w:tr>
      <w:tr>
        <w:trPr>
          <w:trHeight w:val="30" w:hRule="atLeast"/>
        </w:trPr>
        <w:tc>
          <w:tcPr>
            <w:tcW w:w="1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886"/>
        <w:gridCol w:w="2524"/>
        <w:gridCol w:w="2524"/>
        <w:gridCol w:w="2841"/>
        <w:gridCol w:w="2525"/>
      </w:tblGrid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1" w:id="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(сектора)</w:t>
            </w:r>
          </w:p>
          <w:bookmarkEnd w:id="193"/>
        </w:tc>
        <w:tc>
          <w:tcPr>
            <w:tcW w:w="2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2-i.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Высота подвеса антенны, м</w:t>
            </w:r>
          </w:p>
        </w:tc>
        <w:tc>
          <w:tcPr>
            <w:tcW w:w="2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2-j.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Угол места, град</w:t>
            </w:r>
          </w:p>
        </w:tc>
        <w:tc>
          <w:tcPr>
            <w:tcW w:w="2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2-k.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Потери в АФУ, дБ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2-l.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Мощность, Вт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68"/>
        <w:gridCol w:w="2004"/>
        <w:gridCol w:w="1759"/>
        <w:gridCol w:w="3684"/>
        <w:gridCol w:w="3685"/>
      </w:tblGrid>
      <w:tr>
        <w:trPr>
          <w:trHeight w:val="30" w:hRule="atLeast"/>
        </w:trPr>
        <w:tc>
          <w:tcPr>
            <w:tcW w:w="1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4" w:id="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(сектора)</w:t>
            </w:r>
          </w:p>
          <w:bookmarkEnd w:id="194"/>
        </w:tc>
        <w:tc>
          <w:tcPr>
            <w:tcW w:w="2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2-m.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Частота приема, МГц</w:t>
            </w:r>
          </w:p>
        </w:tc>
        <w:tc>
          <w:tcPr>
            <w:tcW w:w="1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2-n.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Частота передачи, МГц</w:t>
            </w:r>
          </w:p>
        </w:tc>
        <w:tc>
          <w:tcPr>
            <w:tcW w:w="3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2-o. Частота приема, МГц (заполняется инспекцией)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2-p. Частота передачи, МГц (заполняется инспекцией)</w:t>
            </w:r>
          </w:p>
        </w:tc>
      </w:tr>
      <w:tr>
        <w:trPr>
          <w:trHeight w:val="30" w:hRule="atLeast"/>
        </w:trPr>
        <w:tc>
          <w:tcPr>
            <w:tcW w:w="1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04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1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Приложение: Нормированные диаграммы направленности антенны в горизонтальной/вертикальной плоскостях в формате Planet, нормированная АЧХ приемопередатчика, сетка частот.</w:t>
      </w:r>
    </w:p>
    <w:bookmarkEnd w:id="195"/>
    <w:bookmarkStart w:name="z432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6"/>
    <w:p>
      <w:pPr>
        <w:spacing w:after="0"/>
        <w:ind w:left="0"/>
        <w:jc w:val="both"/>
      </w:pPr>
      <w:r>
        <w:drawing>
          <wp:inline distT="0" distB="0" distL="0" distR="0">
            <wp:extent cx="7810500" cy="227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7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основные сокращения, указанные в перечне анкеты на стационарное радиоэлектронное средство системы подвижной связи:</w:t>
      </w:r>
    </w:p>
    <w:bookmarkEnd w:id="19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935"/>
        <w:gridCol w:w="2269"/>
        <w:gridCol w:w="5096"/>
      </w:tblGrid>
      <w:tr>
        <w:trPr>
          <w:trHeight w:val="30" w:hRule="atLeast"/>
        </w:trPr>
        <w:tc>
          <w:tcPr>
            <w:tcW w:w="493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8" w:id="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АФУ</w:t>
            </w:r>
          </w:p>
          <w:bookmarkEnd w:id="198"/>
        </w:tc>
        <w:tc>
          <w:tcPr>
            <w:tcW w:w="22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50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антенно-фидерное устройство;</w:t>
            </w:r>
          </w:p>
        </w:tc>
      </w:tr>
      <w:tr>
        <w:trPr>
          <w:trHeight w:val="30" w:hRule="atLeast"/>
        </w:trPr>
        <w:tc>
          <w:tcPr>
            <w:tcW w:w="493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9" w:id="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АЧХ</w:t>
            </w:r>
          </w:p>
          <w:bookmarkEnd w:id="199"/>
        </w:tc>
        <w:tc>
          <w:tcPr>
            <w:tcW w:w="22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50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амплитудно-частотная характеристика;</w:t>
            </w:r>
          </w:p>
        </w:tc>
      </w:tr>
      <w:tr>
        <w:trPr>
          <w:trHeight w:val="30" w:hRule="atLeast"/>
        </w:trPr>
        <w:tc>
          <w:tcPr>
            <w:tcW w:w="493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0" w:id="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</w:t>
            </w:r>
          </w:p>
          <w:bookmarkEnd w:id="200"/>
        </w:tc>
        <w:tc>
          <w:tcPr>
            <w:tcW w:w="22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50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ватт;</w:t>
            </w:r>
          </w:p>
        </w:tc>
      </w:tr>
      <w:tr>
        <w:trPr>
          <w:trHeight w:val="30" w:hRule="atLeast"/>
        </w:trPr>
        <w:tc>
          <w:tcPr>
            <w:tcW w:w="493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1" w:id="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С.Ш. и В.Д.</w:t>
            </w:r>
          </w:p>
          <w:bookmarkEnd w:id="201"/>
        </w:tc>
        <w:tc>
          <w:tcPr>
            <w:tcW w:w="22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50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северной широты и восточной долготы;</w:t>
            </w:r>
          </w:p>
        </w:tc>
      </w:tr>
      <w:tr>
        <w:trPr>
          <w:trHeight w:val="30" w:hRule="atLeast"/>
        </w:trPr>
        <w:tc>
          <w:tcPr>
            <w:tcW w:w="493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2" w:id="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град.</w:t>
            </w:r>
          </w:p>
          <w:bookmarkEnd w:id="202"/>
        </w:tc>
        <w:tc>
          <w:tcPr>
            <w:tcW w:w="22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50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градус;</w:t>
            </w:r>
          </w:p>
        </w:tc>
      </w:tr>
      <w:tr>
        <w:trPr>
          <w:trHeight w:val="30" w:hRule="atLeast"/>
        </w:trPr>
        <w:tc>
          <w:tcPr>
            <w:tcW w:w="493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3" w:id="2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дБ</w:t>
            </w:r>
          </w:p>
          <w:bookmarkEnd w:id="203"/>
        </w:tc>
        <w:tc>
          <w:tcPr>
            <w:tcW w:w="22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50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децибел;</w:t>
            </w:r>
          </w:p>
        </w:tc>
      </w:tr>
      <w:tr>
        <w:trPr>
          <w:trHeight w:val="30" w:hRule="atLeast"/>
        </w:trPr>
        <w:tc>
          <w:tcPr>
            <w:tcW w:w="493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4" w:id="2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дБи</w:t>
            </w:r>
          </w:p>
          <w:bookmarkEnd w:id="204"/>
        </w:tc>
        <w:tc>
          <w:tcPr>
            <w:tcW w:w="22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50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изотропный децибел;</w:t>
            </w:r>
          </w:p>
        </w:tc>
      </w:tr>
      <w:tr>
        <w:trPr>
          <w:trHeight w:val="30" w:hRule="atLeast"/>
        </w:trPr>
        <w:tc>
          <w:tcPr>
            <w:tcW w:w="493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5" w:id="2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кГц</w:t>
            </w:r>
          </w:p>
          <w:bookmarkEnd w:id="205"/>
        </w:tc>
        <w:tc>
          <w:tcPr>
            <w:tcW w:w="22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50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килогерц;</w:t>
            </w:r>
          </w:p>
        </w:tc>
      </w:tr>
      <w:tr>
        <w:trPr>
          <w:trHeight w:val="30" w:hRule="atLeast"/>
        </w:trPr>
        <w:tc>
          <w:tcPr>
            <w:tcW w:w="493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6" w:id="2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  <w:bookmarkEnd w:id="206"/>
        </w:tc>
        <w:tc>
          <w:tcPr>
            <w:tcW w:w="22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50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километр;</w:t>
            </w:r>
          </w:p>
        </w:tc>
      </w:tr>
      <w:tr>
        <w:trPr>
          <w:trHeight w:val="30" w:hRule="atLeast"/>
        </w:trPr>
        <w:tc>
          <w:tcPr>
            <w:tcW w:w="493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7" w:id="2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  <w:bookmarkEnd w:id="207"/>
        </w:tc>
        <w:tc>
          <w:tcPr>
            <w:tcW w:w="22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50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метр;</w:t>
            </w:r>
          </w:p>
        </w:tc>
      </w:tr>
      <w:tr>
        <w:trPr>
          <w:trHeight w:val="30" w:hRule="atLeast"/>
        </w:trPr>
        <w:tc>
          <w:tcPr>
            <w:tcW w:w="493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8" w:id="2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Мбит/с</w:t>
            </w:r>
          </w:p>
          <w:bookmarkEnd w:id="208"/>
        </w:tc>
        <w:tc>
          <w:tcPr>
            <w:tcW w:w="22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50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мегабит в секунду;</w:t>
            </w:r>
          </w:p>
        </w:tc>
      </w:tr>
      <w:tr>
        <w:trPr>
          <w:trHeight w:val="30" w:hRule="atLeast"/>
        </w:trPr>
        <w:tc>
          <w:tcPr>
            <w:tcW w:w="493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9" w:id="2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МГц</w:t>
            </w:r>
          </w:p>
          <w:bookmarkEnd w:id="209"/>
        </w:tc>
        <w:tc>
          <w:tcPr>
            <w:tcW w:w="22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50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мегагерц;</w:t>
            </w:r>
          </w:p>
        </w:tc>
      </w:tr>
      <w:tr>
        <w:trPr>
          <w:trHeight w:val="30" w:hRule="atLeast"/>
        </w:trPr>
        <w:tc>
          <w:tcPr>
            <w:tcW w:w="493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0" w:id="2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мкВ</w:t>
            </w:r>
          </w:p>
          <w:bookmarkEnd w:id="210"/>
        </w:tc>
        <w:tc>
          <w:tcPr>
            <w:tcW w:w="22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50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микровольт;</w:t>
            </w:r>
          </w:p>
        </w:tc>
      </w:tr>
      <w:tr>
        <w:trPr>
          <w:trHeight w:val="30" w:hRule="atLeast"/>
        </w:trPr>
        <w:tc>
          <w:tcPr>
            <w:tcW w:w="493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1" w:id="2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ИИН/БИН</w:t>
            </w:r>
          </w:p>
          <w:bookmarkEnd w:id="211"/>
        </w:tc>
        <w:tc>
          <w:tcPr>
            <w:tcW w:w="22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50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идентификационный номер/бизнес идентификационный номер;</w:t>
            </w:r>
          </w:p>
        </w:tc>
      </w:tr>
      <w:tr>
        <w:trPr>
          <w:trHeight w:val="30" w:hRule="atLeast"/>
        </w:trPr>
        <w:tc>
          <w:tcPr>
            <w:tcW w:w="493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2" w:id="2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РЭС</w:t>
            </w:r>
          </w:p>
          <w:bookmarkEnd w:id="212"/>
        </w:tc>
        <w:tc>
          <w:tcPr>
            <w:tcW w:w="22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50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радиоэлектронное средство.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информации и коммуникаций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июля 2017 года № 270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присвоения полос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частот, радиочастот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(радиочастотных каналов),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эксплуатации радиоэлектронных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 и высокочастотных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устройств, а также проведения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расчета электромагнитной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совместимости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радиоэлектронных средств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назначения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1- РРЛ</w:t>
            </w:r>
          </w:p>
        </w:tc>
      </w:tr>
    </w:tbl>
    <w:bookmarkStart w:name="z456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             </w:t>
      </w:r>
      <w:r>
        <w:rPr>
          <w:rFonts w:ascii="Times New Roman"/>
          <w:b/>
          <w:i w:val="false"/>
          <w:color w:val="000000"/>
          <w:sz w:val="28"/>
        </w:rPr>
        <w:t>Анкета на радиорелейную линию</w:t>
      </w:r>
    </w:p>
    <w:bookmarkEnd w:id="213"/>
    <w:bookmarkStart w:name="z560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4"/>
    <w:p>
      <w:pPr>
        <w:spacing w:after="0"/>
        <w:ind w:left="0"/>
        <w:jc w:val="both"/>
      </w:pPr>
      <w:r>
        <w:drawing>
          <wp:inline distT="0" distB="0" distL="0" distR="0">
            <wp:extent cx="7810500" cy="604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0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1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74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70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2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Приложение: Нормированные диаграммы направленности антенны в горизонтальной/вертикальной плоскостях в формате Planet, нормированная АЧХ приемопередатчика, сетка частот.</w:t>
      </w:r>
    </w:p>
    <w:bookmarkStart w:name="z567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5"/>
    <w:p>
      <w:pPr>
        <w:spacing w:after="0"/>
        <w:ind w:left="0"/>
        <w:jc w:val="both"/>
      </w:pPr>
      <w:r>
        <w:drawing>
          <wp:inline distT="0" distB="0" distL="0" distR="0">
            <wp:extent cx="7810500" cy="207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основные сокращения, указанные в перечне анкеты на радиорелейную линию:</w:t>
      </w:r>
    </w:p>
    <w:bookmarkStart w:name="z568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 – обязательные поля к заполнению;</w:t>
      </w:r>
    </w:p>
    <w:bookmarkEnd w:id="216"/>
    <w:bookmarkStart w:name="z569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АФУ – антенно-фидерное устройство;</w:t>
      </w:r>
    </w:p>
    <w:bookmarkEnd w:id="217"/>
    <w:bookmarkStart w:name="z570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С.Ш. и В.Д – северной широты и восточной долготы;</w:t>
      </w:r>
    </w:p>
    <w:bookmarkEnd w:id="218"/>
    <w:bookmarkStart w:name="z571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АЧХ – амплитудно-частотная характеристика;</w:t>
      </w:r>
    </w:p>
    <w:bookmarkEnd w:id="219"/>
    <w:bookmarkStart w:name="z572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дБ – децибел;</w:t>
      </w:r>
    </w:p>
    <w:bookmarkEnd w:id="220"/>
    <w:bookmarkStart w:name="z573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дБи – изотропный децибел;</w:t>
      </w:r>
    </w:p>
    <w:bookmarkEnd w:id="221"/>
    <w:bookmarkStart w:name="z574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дБм – децибел-милливатт;</w:t>
      </w:r>
    </w:p>
    <w:bookmarkEnd w:id="222"/>
    <w:bookmarkStart w:name="z575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км – километр;</w:t>
      </w:r>
    </w:p>
    <w:bookmarkEnd w:id="223"/>
    <w:bookmarkStart w:name="z576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 – метр;</w:t>
      </w:r>
    </w:p>
    <w:bookmarkEnd w:id="224"/>
    <w:bookmarkStart w:name="z577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Мбит/с – мегабит в секунду;</w:t>
      </w:r>
    </w:p>
    <w:bookmarkEnd w:id="225"/>
    <w:bookmarkStart w:name="z578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мВт – милливатт;</w:t>
      </w:r>
    </w:p>
    <w:bookmarkEnd w:id="226"/>
    <w:bookmarkStart w:name="z579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МГц – мегагерц;</w:t>
      </w:r>
    </w:p>
    <w:bookmarkEnd w:id="227"/>
    <w:bookmarkStart w:name="z580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РРЛ – радиорелейные линии;</w:t>
      </w:r>
    </w:p>
    <w:bookmarkEnd w:id="228"/>
    <w:bookmarkStart w:name="z581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РРС – радиорелейная станция;</w:t>
      </w:r>
    </w:p>
    <w:bookmarkEnd w:id="229"/>
    <w:bookmarkStart w:name="z582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BER – Bit Error rate (Битовая вероятность ошибки).</w:t>
      </w:r>
    </w:p>
    <w:bookmarkEnd w:id="23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информации и коммуникаций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июля 2017 года № 270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присвоения полос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частот, радиочастот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(радиочастотных каналов),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эксплуатации радиоэлектронных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 и высокочастотных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устройств, а также проведения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расчета электромагнитной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совместимости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радиоэлектронных средств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гражданского назначения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1- РВ, ТВ, ЦТВ</w:t>
            </w:r>
          </w:p>
        </w:tc>
      </w:tr>
    </w:tbl>
    <w:bookmarkStart w:name="z586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             </w:t>
      </w:r>
      <w:r>
        <w:rPr>
          <w:rFonts w:ascii="Times New Roman"/>
          <w:b/>
          <w:i w:val="false"/>
          <w:color w:val="000000"/>
          <w:sz w:val="28"/>
        </w:rPr>
        <w:t>Анкета на телерадиовещательный передатчик</w:t>
      </w:r>
    </w:p>
    <w:bookmarkEnd w:id="231"/>
    <w:bookmarkStart w:name="z587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РАЗДЕЛ 1 – ТЕХНИЧЕСКИЕ ДАННЫЕ</w:t>
      </w:r>
    </w:p>
    <w:bookmarkEnd w:id="2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3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3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67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4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основные сокращения, указанные в перечне анкеты на телерадиовещательный передатчик:</w:t>
      </w:r>
    </w:p>
    <w:bookmarkEnd w:id="2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810"/>
        <w:gridCol w:w="531"/>
        <w:gridCol w:w="9959"/>
      </w:tblGrid>
      <w:tr>
        <w:trPr>
          <w:trHeight w:val="30" w:hRule="atLeast"/>
        </w:trPr>
        <w:tc>
          <w:tcPr>
            <w:tcW w:w="18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5" w:id="2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</w:t>
            </w:r>
          </w:p>
          <w:bookmarkEnd w:id="234"/>
        </w:tc>
        <w:tc>
          <w:tcPr>
            <w:tcW w:w="53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ватт;</w:t>
            </w:r>
          </w:p>
        </w:tc>
      </w:tr>
      <w:tr>
        <w:trPr>
          <w:trHeight w:val="30" w:hRule="atLeast"/>
        </w:trPr>
        <w:tc>
          <w:tcPr>
            <w:tcW w:w="18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6" w:id="2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град.</w:t>
            </w:r>
          </w:p>
          <w:bookmarkEnd w:id="235"/>
        </w:tc>
        <w:tc>
          <w:tcPr>
            <w:tcW w:w="53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градус;</w:t>
            </w:r>
          </w:p>
        </w:tc>
      </w:tr>
      <w:tr>
        <w:trPr>
          <w:trHeight w:val="30" w:hRule="atLeast"/>
        </w:trPr>
        <w:tc>
          <w:tcPr>
            <w:tcW w:w="18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7" w:id="2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дБи</w:t>
            </w:r>
          </w:p>
          <w:bookmarkEnd w:id="236"/>
        </w:tc>
        <w:tc>
          <w:tcPr>
            <w:tcW w:w="53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изотропный децибел;</w:t>
            </w:r>
          </w:p>
        </w:tc>
      </w:tr>
      <w:tr>
        <w:trPr>
          <w:trHeight w:val="30" w:hRule="atLeast"/>
        </w:trPr>
        <w:tc>
          <w:tcPr>
            <w:tcW w:w="18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8" w:id="2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  <w:bookmarkEnd w:id="237"/>
        </w:tc>
        <w:tc>
          <w:tcPr>
            <w:tcW w:w="53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метр;</w:t>
            </w:r>
          </w:p>
        </w:tc>
      </w:tr>
      <w:tr>
        <w:trPr>
          <w:trHeight w:val="30" w:hRule="atLeast"/>
        </w:trPr>
        <w:tc>
          <w:tcPr>
            <w:tcW w:w="18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9" w:id="2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МГц</w:t>
            </w:r>
          </w:p>
          <w:bookmarkEnd w:id="238"/>
        </w:tc>
        <w:tc>
          <w:tcPr>
            <w:tcW w:w="53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мегагерц;</w:t>
            </w:r>
          </w:p>
        </w:tc>
      </w:tr>
      <w:tr>
        <w:trPr>
          <w:trHeight w:val="30" w:hRule="atLeast"/>
        </w:trPr>
        <w:tc>
          <w:tcPr>
            <w:tcW w:w="18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0" w:id="2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С.Ш. и В.Д</w:t>
            </w:r>
          </w:p>
          <w:bookmarkEnd w:id="239"/>
        </w:tc>
        <w:tc>
          <w:tcPr>
            <w:tcW w:w="53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северной широты и восточной долготы;</w:t>
            </w:r>
          </w:p>
        </w:tc>
      </w:tr>
      <w:tr>
        <w:trPr>
          <w:trHeight w:val="30" w:hRule="atLeast"/>
        </w:trPr>
        <w:tc>
          <w:tcPr>
            <w:tcW w:w="18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1" w:id="2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РВ</w:t>
            </w:r>
          </w:p>
          <w:bookmarkEnd w:id="240"/>
        </w:tc>
        <w:tc>
          <w:tcPr>
            <w:tcW w:w="53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радиовещание;</w:t>
            </w:r>
          </w:p>
        </w:tc>
      </w:tr>
      <w:tr>
        <w:trPr>
          <w:trHeight w:val="30" w:hRule="atLeast"/>
        </w:trPr>
        <w:tc>
          <w:tcPr>
            <w:tcW w:w="18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2" w:id="2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РЭС</w:t>
            </w:r>
          </w:p>
          <w:bookmarkEnd w:id="241"/>
        </w:tc>
        <w:tc>
          <w:tcPr>
            <w:tcW w:w="53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радиоэлектронное средство;</w:t>
            </w:r>
          </w:p>
        </w:tc>
      </w:tr>
      <w:tr>
        <w:trPr>
          <w:trHeight w:val="30" w:hRule="atLeast"/>
        </w:trPr>
        <w:tc>
          <w:tcPr>
            <w:tcW w:w="18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3" w:id="2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ТВ</w:t>
            </w:r>
          </w:p>
          <w:bookmarkEnd w:id="242"/>
        </w:tc>
        <w:tc>
          <w:tcPr>
            <w:tcW w:w="53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телевещание;</w:t>
            </w:r>
          </w:p>
        </w:tc>
      </w:tr>
      <w:tr>
        <w:trPr>
          <w:trHeight w:val="30" w:hRule="atLeast"/>
        </w:trPr>
        <w:tc>
          <w:tcPr>
            <w:tcW w:w="18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4" w:id="2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ЦТВ</w:t>
            </w:r>
          </w:p>
          <w:bookmarkEnd w:id="243"/>
        </w:tc>
        <w:tc>
          <w:tcPr>
            <w:tcW w:w="53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телевещание;</w:t>
            </w:r>
          </w:p>
        </w:tc>
      </w:tr>
      <w:tr>
        <w:trPr>
          <w:trHeight w:val="30" w:hRule="atLeast"/>
        </w:trPr>
        <w:tc>
          <w:tcPr>
            <w:tcW w:w="18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5" w:id="2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Эфирно-кабельное ТВ</w:t>
            </w:r>
          </w:p>
          <w:bookmarkEnd w:id="244"/>
        </w:tc>
        <w:tc>
          <w:tcPr>
            <w:tcW w:w="53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эфирно-кабельное телевещание;</w:t>
            </w:r>
          </w:p>
        </w:tc>
      </w:tr>
      <w:tr>
        <w:trPr>
          <w:trHeight w:val="30" w:hRule="atLeast"/>
        </w:trPr>
        <w:tc>
          <w:tcPr>
            <w:tcW w:w="18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6" w:id="2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HD</w:t>
            </w:r>
          </w:p>
          <w:bookmarkEnd w:id="245"/>
        </w:tc>
        <w:tc>
          <w:tcPr>
            <w:tcW w:w="53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High Definition (Высокое разрешение);</w:t>
            </w:r>
          </w:p>
        </w:tc>
      </w:tr>
      <w:tr>
        <w:trPr>
          <w:trHeight w:val="30" w:hRule="atLeast"/>
        </w:trPr>
        <w:tc>
          <w:tcPr>
            <w:tcW w:w="18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7" w:id="2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UHD</w:t>
            </w:r>
          </w:p>
          <w:bookmarkEnd w:id="246"/>
        </w:tc>
        <w:tc>
          <w:tcPr>
            <w:tcW w:w="53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Ultra High Definition;</w:t>
            </w:r>
          </w:p>
        </w:tc>
      </w:tr>
      <w:tr>
        <w:trPr>
          <w:trHeight w:val="30" w:hRule="atLeast"/>
        </w:trPr>
        <w:tc>
          <w:tcPr>
            <w:tcW w:w="18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8" w:id="2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QAM</w:t>
            </w:r>
          </w:p>
          <w:bookmarkEnd w:id="247"/>
        </w:tc>
        <w:tc>
          <w:tcPr>
            <w:tcW w:w="53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Quadrature Amplitude Modulation (Квадратурная амплитудная модуляция);</w:t>
            </w:r>
          </w:p>
        </w:tc>
      </w:tr>
      <w:tr>
        <w:trPr>
          <w:trHeight w:val="30" w:hRule="atLeast"/>
        </w:trPr>
        <w:tc>
          <w:tcPr>
            <w:tcW w:w="18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9" w:id="2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QPSK</w:t>
            </w:r>
          </w:p>
          <w:bookmarkEnd w:id="248"/>
        </w:tc>
        <w:tc>
          <w:tcPr>
            <w:tcW w:w="53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Quadrature Phase Shift Keying (Квадратурная фазовая манипуляция);</w:t>
            </w:r>
          </w:p>
        </w:tc>
      </w:tr>
      <w:tr>
        <w:trPr>
          <w:trHeight w:val="30" w:hRule="atLeast"/>
        </w:trPr>
        <w:tc>
          <w:tcPr>
            <w:tcW w:w="18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0" w:id="2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SD</w:t>
            </w:r>
          </w:p>
          <w:bookmarkEnd w:id="249"/>
        </w:tc>
        <w:tc>
          <w:tcPr>
            <w:tcW w:w="53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Standard Definition (Стандартное разрешение)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информации и коммуникаций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июля 2017 года № 270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присвоения полос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частот, радиочастот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(радиочастотных каналов),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эксплуатации радиоэлектронных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 и высокочастотных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устройств, а также проведения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расчета электромагнитной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совместимости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радиоэлектронных средств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гражданского назначения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1-СБР</w:t>
            </w:r>
          </w:p>
        </w:tc>
      </w:tr>
    </w:tbl>
    <w:bookmarkStart w:name="z674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Анкета на радиоэлектронное средство системы беспроводной радиосвязи (WLL)</w:t>
      </w:r>
    </w:p>
    <w:bookmarkEnd w:id="2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3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8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29"/>
        <w:gridCol w:w="1399"/>
        <w:gridCol w:w="1636"/>
        <w:gridCol w:w="2067"/>
        <w:gridCol w:w="1637"/>
        <w:gridCol w:w="1637"/>
        <w:gridCol w:w="1595"/>
        <w:gridCol w:w="1400"/>
      </w:tblGrid>
      <w:tr>
        <w:trPr>
          <w:trHeight w:val="30" w:hRule="atLeast"/>
        </w:trPr>
        <w:tc>
          <w:tcPr>
            <w:tcW w:w="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6" w:id="2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(сектора)</w:t>
            </w:r>
          </w:p>
          <w:bookmarkEnd w:id="251"/>
        </w:tc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2-a.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Производитель антенны</w:t>
            </w:r>
          </w:p>
        </w:tc>
        <w:tc>
          <w:tcPr>
            <w:tcW w:w="1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2-b.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Модель антенны</w:t>
            </w:r>
          </w:p>
        </w:tc>
        <w:tc>
          <w:tcPr>
            <w:tcW w:w="2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2-c. Коэффициент усиления, дБи</w:t>
            </w:r>
          </w:p>
        </w:tc>
        <w:tc>
          <w:tcPr>
            <w:tcW w:w="1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2-d.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Азимут макс. излучения, град</w:t>
            </w:r>
          </w:p>
        </w:tc>
        <w:tc>
          <w:tcPr>
            <w:tcW w:w="1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2-e.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Высота подвеса антенны, м</w:t>
            </w:r>
          </w:p>
        </w:tc>
        <w:tc>
          <w:tcPr>
            <w:tcW w:w="1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2-f.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Угол места, град</w:t>
            </w:r>
          </w:p>
        </w:tc>
        <w:tc>
          <w:tcPr>
            <w:tcW w:w="1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2-g.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Потери в АФУ, дБ</w:t>
            </w:r>
          </w:p>
        </w:tc>
      </w:tr>
      <w:tr>
        <w:trPr>
          <w:trHeight w:val="30" w:hRule="atLeast"/>
        </w:trPr>
        <w:tc>
          <w:tcPr>
            <w:tcW w:w="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(сектора)</w:t>
            </w:r>
          </w:p>
        </w:tc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2-h.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Мощность перед.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(на сектор), Вт</w:t>
            </w:r>
          </w:p>
        </w:tc>
        <w:tc>
          <w:tcPr>
            <w:tcW w:w="1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2-i.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Частота приема (мин.граница), МГц</w:t>
            </w:r>
          </w:p>
        </w:tc>
        <w:tc>
          <w:tcPr>
            <w:tcW w:w="2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2-j.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Частота приема (макс.граница), МГц</w:t>
            </w:r>
          </w:p>
        </w:tc>
        <w:tc>
          <w:tcPr>
            <w:tcW w:w="1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2-k.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Частота передачи (мин.граница), МГц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2-l.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Частота передачи (макс.граница), МГц</w:t>
            </w:r>
          </w:p>
        </w:tc>
        <w:tc>
          <w:tcPr>
            <w:tcW w:w="1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2-m.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Несущая частота приема, МГц</w:t>
            </w:r>
          </w:p>
        </w:tc>
        <w:tc>
          <w:tcPr>
            <w:tcW w:w="1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2-n.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Несущая частота передачи, МГц</w:t>
            </w:r>
          </w:p>
        </w:tc>
      </w:tr>
      <w:tr>
        <w:trPr>
          <w:trHeight w:val="30" w:hRule="atLeast"/>
        </w:trPr>
        <w:tc>
          <w:tcPr>
            <w:tcW w:w="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13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РАЗДЕЛ ІІ – ДОПОЛНИТЕЛЬНАЯ ИНФОРМАЦИЯ</w:t>
      </w:r>
    </w:p>
    <w:bookmarkEnd w:id="2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7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Приложение: Нормированные диаграммы направленности антенны в горизонтальной/вертикальной плоскостях в формате Planet, нормированная АЧХ приемопередатчика, сетка частот.</w:t>
      </w:r>
    </w:p>
    <w:bookmarkEnd w:id="2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36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3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основные сокращения, указанные в перечне анкеты на радиоэлектронное средство системы беспроводной радиосвязи (WLL):</w:t>
      </w:r>
    </w:p>
    <w:bookmarkEnd w:id="25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2516"/>
        <w:gridCol w:w="783"/>
        <w:gridCol w:w="9001"/>
      </w:tblGrid>
      <w:tr>
        <w:trPr>
          <w:trHeight w:val="30" w:hRule="atLeast"/>
        </w:trPr>
        <w:tc>
          <w:tcPr>
            <w:tcW w:w="251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4" w:id="2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АФУ</w:t>
            </w:r>
          </w:p>
          <w:bookmarkEnd w:id="255"/>
        </w:tc>
        <w:tc>
          <w:tcPr>
            <w:tcW w:w="7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00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антенно-фидерное устройство;</w:t>
            </w:r>
          </w:p>
        </w:tc>
      </w:tr>
      <w:tr>
        <w:trPr>
          <w:trHeight w:val="30" w:hRule="atLeast"/>
        </w:trPr>
        <w:tc>
          <w:tcPr>
            <w:tcW w:w="251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5" w:id="2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АЧХ</w:t>
            </w:r>
          </w:p>
          <w:bookmarkEnd w:id="256"/>
        </w:tc>
        <w:tc>
          <w:tcPr>
            <w:tcW w:w="7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00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амплитудно-частотная характеристика;</w:t>
            </w:r>
          </w:p>
        </w:tc>
      </w:tr>
      <w:tr>
        <w:trPr>
          <w:trHeight w:val="30" w:hRule="atLeast"/>
        </w:trPr>
        <w:tc>
          <w:tcPr>
            <w:tcW w:w="251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6" w:id="2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</w:t>
            </w:r>
          </w:p>
          <w:bookmarkEnd w:id="257"/>
        </w:tc>
        <w:tc>
          <w:tcPr>
            <w:tcW w:w="7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00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ватт;</w:t>
            </w:r>
          </w:p>
        </w:tc>
      </w:tr>
      <w:tr>
        <w:trPr>
          <w:trHeight w:val="30" w:hRule="atLeast"/>
        </w:trPr>
        <w:tc>
          <w:tcPr>
            <w:tcW w:w="251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7" w:id="2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С.Ш. и В.Д </w:t>
            </w:r>
          </w:p>
          <w:bookmarkEnd w:id="258"/>
        </w:tc>
        <w:tc>
          <w:tcPr>
            <w:tcW w:w="7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00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северной широты и восточной долготы;</w:t>
            </w:r>
          </w:p>
        </w:tc>
      </w:tr>
      <w:tr>
        <w:trPr>
          <w:trHeight w:val="30" w:hRule="atLeast"/>
        </w:trPr>
        <w:tc>
          <w:tcPr>
            <w:tcW w:w="251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8" w:id="2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град.</w:t>
            </w:r>
          </w:p>
          <w:bookmarkEnd w:id="259"/>
        </w:tc>
        <w:tc>
          <w:tcPr>
            <w:tcW w:w="7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00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градус;</w:t>
            </w:r>
          </w:p>
        </w:tc>
      </w:tr>
      <w:tr>
        <w:trPr>
          <w:trHeight w:val="30" w:hRule="atLeast"/>
        </w:trPr>
        <w:tc>
          <w:tcPr>
            <w:tcW w:w="251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9" w:id="2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дБ</w:t>
            </w:r>
          </w:p>
          <w:bookmarkEnd w:id="260"/>
        </w:tc>
        <w:tc>
          <w:tcPr>
            <w:tcW w:w="7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00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децибел;</w:t>
            </w:r>
          </w:p>
        </w:tc>
      </w:tr>
      <w:tr>
        <w:trPr>
          <w:trHeight w:val="30" w:hRule="atLeast"/>
        </w:trPr>
        <w:tc>
          <w:tcPr>
            <w:tcW w:w="251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0" w:id="2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дБи</w:t>
            </w:r>
          </w:p>
          <w:bookmarkEnd w:id="261"/>
        </w:tc>
        <w:tc>
          <w:tcPr>
            <w:tcW w:w="7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00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изотропный децибел;</w:t>
            </w:r>
          </w:p>
        </w:tc>
      </w:tr>
      <w:tr>
        <w:trPr>
          <w:trHeight w:val="30" w:hRule="atLeast"/>
        </w:trPr>
        <w:tc>
          <w:tcPr>
            <w:tcW w:w="251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1" w:id="2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кГц</w:t>
            </w:r>
          </w:p>
          <w:bookmarkEnd w:id="262"/>
        </w:tc>
        <w:tc>
          <w:tcPr>
            <w:tcW w:w="7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00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килогерц;</w:t>
            </w:r>
          </w:p>
        </w:tc>
      </w:tr>
      <w:tr>
        <w:trPr>
          <w:trHeight w:val="30" w:hRule="atLeast"/>
        </w:trPr>
        <w:tc>
          <w:tcPr>
            <w:tcW w:w="251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2" w:id="2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МГц</w:t>
            </w:r>
          </w:p>
          <w:bookmarkEnd w:id="263"/>
        </w:tc>
        <w:tc>
          <w:tcPr>
            <w:tcW w:w="7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00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мегагерц;</w:t>
            </w:r>
          </w:p>
        </w:tc>
      </w:tr>
      <w:tr>
        <w:trPr>
          <w:trHeight w:val="30" w:hRule="atLeast"/>
        </w:trPr>
        <w:tc>
          <w:tcPr>
            <w:tcW w:w="251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3" w:id="2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  <w:bookmarkEnd w:id="264"/>
        </w:tc>
        <w:tc>
          <w:tcPr>
            <w:tcW w:w="7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00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километр;</w:t>
            </w:r>
          </w:p>
        </w:tc>
      </w:tr>
      <w:tr>
        <w:trPr>
          <w:trHeight w:val="30" w:hRule="atLeast"/>
        </w:trPr>
        <w:tc>
          <w:tcPr>
            <w:tcW w:w="251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4" w:id="2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  <w:bookmarkEnd w:id="265"/>
        </w:tc>
        <w:tc>
          <w:tcPr>
            <w:tcW w:w="7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00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метр;</w:t>
            </w:r>
          </w:p>
        </w:tc>
      </w:tr>
      <w:tr>
        <w:trPr>
          <w:trHeight w:val="30" w:hRule="atLeast"/>
        </w:trPr>
        <w:tc>
          <w:tcPr>
            <w:tcW w:w="251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5" w:id="2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Мбит/с</w:t>
            </w:r>
          </w:p>
          <w:bookmarkEnd w:id="266"/>
        </w:tc>
        <w:tc>
          <w:tcPr>
            <w:tcW w:w="7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00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мегабит в секунду;</w:t>
            </w:r>
          </w:p>
        </w:tc>
      </w:tr>
      <w:tr>
        <w:trPr>
          <w:trHeight w:val="30" w:hRule="atLeast"/>
        </w:trPr>
        <w:tc>
          <w:tcPr>
            <w:tcW w:w="251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6" w:id="2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мкВ</w:t>
            </w:r>
          </w:p>
          <w:bookmarkEnd w:id="267"/>
        </w:tc>
        <w:tc>
          <w:tcPr>
            <w:tcW w:w="7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00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микровольт;</w:t>
            </w:r>
          </w:p>
        </w:tc>
      </w:tr>
      <w:tr>
        <w:trPr>
          <w:trHeight w:val="30" w:hRule="atLeast"/>
        </w:trPr>
        <w:tc>
          <w:tcPr>
            <w:tcW w:w="251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7" w:id="2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ИИН/БИН</w:t>
            </w:r>
          </w:p>
          <w:bookmarkEnd w:id="268"/>
        </w:tc>
        <w:tc>
          <w:tcPr>
            <w:tcW w:w="7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00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идентификационный номер/бизнес идентификационный номер;</w:t>
            </w:r>
          </w:p>
        </w:tc>
      </w:tr>
      <w:tr>
        <w:trPr>
          <w:trHeight w:val="30" w:hRule="atLeast"/>
        </w:trPr>
        <w:tc>
          <w:tcPr>
            <w:tcW w:w="251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8" w:id="2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РЭС</w:t>
            </w:r>
          </w:p>
          <w:bookmarkEnd w:id="269"/>
        </w:tc>
        <w:tc>
          <w:tcPr>
            <w:tcW w:w="7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00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радиоэлектронное средство;</w:t>
            </w:r>
          </w:p>
        </w:tc>
      </w:tr>
      <w:tr>
        <w:trPr>
          <w:trHeight w:val="30" w:hRule="atLeast"/>
        </w:trPr>
        <w:tc>
          <w:tcPr>
            <w:tcW w:w="251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9" w:id="2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РЧС </w:t>
            </w:r>
          </w:p>
          <w:bookmarkEnd w:id="270"/>
        </w:tc>
        <w:tc>
          <w:tcPr>
            <w:tcW w:w="7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00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радиочастотный спектр;</w:t>
            </w:r>
          </w:p>
        </w:tc>
      </w:tr>
      <w:tr>
        <w:trPr>
          <w:trHeight w:val="30" w:hRule="atLeast"/>
        </w:trPr>
        <w:tc>
          <w:tcPr>
            <w:tcW w:w="251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0" w:id="2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СБР</w:t>
            </w:r>
          </w:p>
          <w:bookmarkEnd w:id="271"/>
        </w:tc>
        <w:tc>
          <w:tcPr>
            <w:tcW w:w="7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00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система беспроводной радиосвязи;</w:t>
            </w:r>
          </w:p>
        </w:tc>
      </w:tr>
      <w:tr>
        <w:trPr>
          <w:trHeight w:val="30" w:hRule="atLeast"/>
        </w:trPr>
        <w:tc>
          <w:tcPr>
            <w:tcW w:w="251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1" w:id="2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Wi-Fi</w:t>
            </w:r>
          </w:p>
          <w:bookmarkEnd w:id="272"/>
        </w:tc>
        <w:tc>
          <w:tcPr>
            <w:tcW w:w="7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00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Wireless Fidelity (беспроводная точность);</w:t>
            </w:r>
          </w:p>
        </w:tc>
      </w:tr>
      <w:tr>
        <w:trPr>
          <w:trHeight w:val="30" w:hRule="atLeast"/>
        </w:trPr>
        <w:tc>
          <w:tcPr>
            <w:tcW w:w="251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2" w:id="2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WLL</w:t>
            </w:r>
          </w:p>
          <w:bookmarkEnd w:id="273"/>
        </w:tc>
        <w:tc>
          <w:tcPr>
            <w:tcW w:w="7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00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Wireless locol loop (система беспроводного радиодоступа).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информации и коммуникаций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июля 2017 года № 270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присвоения полос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частот, радиочастот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(радиочастотных каналов),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эксплуатации радиоэлектронных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 и высокочастотных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устройств, а также проведения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расчета электромагнитной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совместимости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радиоэлектронных средств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гражданского назначения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1- ЗСС</w:t>
            </w:r>
          </w:p>
        </w:tc>
      </w:tr>
    </w:tbl>
    <w:bookmarkStart w:name="z746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                         </w:t>
      </w:r>
      <w:r>
        <w:rPr>
          <w:rFonts w:ascii="Times New Roman"/>
          <w:b/>
          <w:i w:val="false"/>
          <w:color w:val="000000"/>
          <w:sz w:val="28"/>
        </w:rPr>
        <w:t>Анкета на земную станцию</w:t>
      </w:r>
      <w:r>
        <w:br/>
      </w:r>
      <w:r>
        <w:rPr>
          <w:rFonts w:ascii="Times New Roman"/>
          <w:b/>
          <w:i w:val="false"/>
          <w:color w:val="000000"/>
          <w:sz w:val="28"/>
        </w:rPr>
        <w:t>РАЗДЕЛ І – ТЕХНИЧЕСКИЕ ДАННЫЕ</w:t>
      </w:r>
    </w:p>
    <w:bookmarkEnd w:id="2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1.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Общие данные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7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3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2. Технические данные передатчика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2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5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8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Приложение: Нормированные диаграммы направленности антенны в горизонтальной/вертикальной плоскостях в формате Planet, нормированная АЧХ приемопередатчика, сетка частот.</w:t>
      </w:r>
    </w:p>
    <w:bookmarkEnd w:id="2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3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3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Примечание: основные сокращения, указанные в перечне анкеты на земную станцию </w:t>
      </w:r>
    </w:p>
    <w:bookmarkEnd w:id="276"/>
    <w:bookmarkStart w:name="z814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 - физическое и/или юридическое лицо, на балансе которого находится РЭС;</w:t>
      </w:r>
    </w:p>
    <w:bookmarkEnd w:id="277"/>
    <w:bookmarkStart w:name="z815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Вт – ватт;</w:t>
      </w:r>
    </w:p>
    <w:bookmarkEnd w:id="278"/>
    <w:bookmarkStart w:name="z816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град. – градус;</w:t>
      </w:r>
    </w:p>
    <w:bookmarkEnd w:id="279"/>
    <w:bookmarkStart w:name="z817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дБ – децибел;</w:t>
      </w:r>
    </w:p>
    <w:bookmarkEnd w:id="280"/>
    <w:bookmarkStart w:name="z818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дБи – изотропный децибел;</w:t>
      </w:r>
    </w:p>
    <w:bookmarkEnd w:id="281"/>
    <w:bookmarkStart w:name="z819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ДН – диаграмма направленности;</w:t>
      </w:r>
    </w:p>
    <w:bookmarkEnd w:id="282"/>
    <w:bookmarkStart w:name="z820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дБм/мкВ – децибел-милливатт/ микровольт;</w:t>
      </w:r>
    </w:p>
    <w:bookmarkEnd w:id="283"/>
    <w:bookmarkStart w:name="z821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 – метр;</w:t>
      </w:r>
    </w:p>
    <w:bookmarkEnd w:id="284"/>
    <w:bookmarkStart w:name="z822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РЧС – радиочастотный спектр;</w:t>
      </w:r>
    </w:p>
    <w:bookmarkEnd w:id="285"/>
    <w:bookmarkStart w:name="z823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С.Ш. и В.Д – северной широты и восточной долготы;</w:t>
      </w:r>
    </w:p>
    <w:bookmarkEnd w:id="286"/>
    <w:bookmarkStart w:name="z824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Мбит/с – мегабит в секунду;</w:t>
      </w:r>
    </w:p>
    <w:bookmarkEnd w:id="287"/>
    <w:bookmarkStart w:name="z825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кГц – килогерц;</w:t>
      </w:r>
    </w:p>
    <w:bookmarkEnd w:id="288"/>
    <w:bookmarkStart w:name="z826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МГц – мегагерц;</w:t>
      </w:r>
    </w:p>
    <w:bookmarkEnd w:id="289"/>
    <w:bookmarkStart w:name="z827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–Кельвин;</w:t>
      </w:r>
    </w:p>
    <w:bookmarkEnd w:id="290"/>
    <w:bookmarkStart w:name="z828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ИИН/БИН – индивидуальный идентификационный номер/бизнес идентификационный номер;</w:t>
      </w:r>
    </w:p>
    <w:bookmarkEnd w:id="291"/>
    <w:bookmarkStart w:name="z829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ИСЗ – искусственный спутник земли;</w:t>
      </w:r>
    </w:p>
    <w:bookmarkEnd w:id="292"/>
    <w:bookmarkStart w:name="z830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ЗС – земная станция;</w:t>
      </w:r>
    </w:p>
    <w:bookmarkEnd w:id="293"/>
    <w:bookmarkStart w:name="z831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РЭС – радиоэлектронное средство.</w:t>
      </w:r>
    </w:p>
    <w:bookmarkEnd w:id="2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информации и коммуникаций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июля 2017 года № 270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присвоения полос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частот, радиочастот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(радиочастотных каналов),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эксплуатации радиоэлектронных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 и высокочастотных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устройств, а также проведения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расчета электромагнитной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совместимости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радиоэлектронных средств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гражданского назначения </w:t>
            </w:r>
          </w:p>
        </w:tc>
      </w:tr>
    </w:tbl>
    <w:bookmarkStart w:name="z834" w:id="2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РЭС, на которые требуется проведения расчета ЭМС РЭС и ВЧУ и получение Разрешения на РЧС, заключения ЭМС РЭС и ВЧУ</w:t>
      </w:r>
    </w:p>
    <w:bookmarkEnd w:id="29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4"/>
        <w:gridCol w:w="4087"/>
        <w:gridCol w:w="7839"/>
      </w:tblGrid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п/п
</w:t>
            </w:r>
          </w:p>
        </w:tc>
        <w:tc>
          <w:tcPr>
            <w:tcW w:w="4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Типы РЭС
</w:t>
            </w:r>
          </w:p>
        </w:tc>
        <w:tc>
          <w:tcPr>
            <w:tcW w:w="7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Полоса (номиналы) используемых радиочастот
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1
</w:t>
            </w:r>
          </w:p>
        </w:tc>
        <w:tc>
          <w:tcPr>
            <w:tcW w:w="4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2
</w:t>
            </w:r>
          </w:p>
        </w:tc>
        <w:tc>
          <w:tcPr>
            <w:tcW w:w="7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3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7" w:id="2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Радиопередающие устройства, предназначенные для телевизионного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звукового вещания, передачи звукового сигнала</w:t>
            </w:r>
          </w:p>
          <w:bookmarkEnd w:id="296"/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8" w:id="2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97"/>
        </w:tc>
        <w:tc>
          <w:tcPr>
            <w:tcW w:w="4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Радиопередающие устройства, предназначенные для передачи телевизионного вещания </w:t>
            </w:r>
          </w:p>
        </w:tc>
        <w:tc>
          <w:tcPr>
            <w:tcW w:w="7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Частоты, выделенные согласно Национальной таблице*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9" w:id="2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298"/>
        </w:tc>
        <w:tc>
          <w:tcPr>
            <w:tcW w:w="4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Станции эфирно-кабельного телевидения</w:t>
            </w:r>
          </w:p>
        </w:tc>
        <w:tc>
          <w:tcPr>
            <w:tcW w:w="7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Частоты, выделенные согласно Национальной таблице*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0" w:id="2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299"/>
        </w:tc>
        <w:tc>
          <w:tcPr>
            <w:tcW w:w="4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Радиопередающие устройства, предназначенные для передачи звукового (радио) вещания </w:t>
            </w:r>
          </w:p>
        </w:tc>
        <w:tc>
          <w:tcPr>
            <w:tcW w:w="7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Частоты, выделенные согласно Национальной таблице*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1" w:id="3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Приемно-передающее оборудование наземной радиосвязи</w:t>
            </w:r>
          </w:p>
          <w:bookmarkEnd w:id="300"/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2" w:id="3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301"/>
        </w:tc>
        <w:tc>
          <w:tcPr>
            <w:tcW w:w="4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Стационарные приемо-передающие РЭС, предназначенные для: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УKB-радиосвязи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транкинговой системы радиосвязи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подвижные РЭС УКВ-радиосвязи**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33–48,5 МГц; 57–57,5 МГц; 117,975-137 МГц, 146–174 МГц, 380–385 МГц, 390–470 МГц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(За исключением маломощных носимых РЭС до 2 Ватт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(151,625; 159,775; 433.075-434.775; 462,5625; 462,5875; 462,6125; 462,6375; 467,5625; 467,5875; 467,6125; 467,6375; 467,6625; 467,6875; 467,7125 МГц)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3" w:id="3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02"/>
        </w:tc>
        <w:tc>
          <w:tcPr>
            <w:tcW w:w="4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Стационарные (базовые) приемопередающие станции, предназначенные для радиотелеметрии</w:t>
            </w:r>
          </w:p>
        </w:tc>
        <w:tc>
          <w:tcPr>
            <w:tcW w:w="7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117,975-137 МГц, 146–174; 380–385 МГц, 390–470 МГц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4" w:id="3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303"/>
        </w:tc>
        <w:tc>
          <w:tcPr>
            <w:tcW w:w="4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Стационарные (базовые) станции сотовой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Частоты, выделенные согласно Национальной таблице*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5" w:id="3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304"/>
        </w:tc>
        <w:tc>
          <w:tcPr>
            <w:tcW w:w="4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Стационарные и подвижные РЭС ДВ, СВ, КВ-диапазона (на подвижные РЭС расчет экспертизы ЭМС РЭС и ВЧУ не требуется)</w:t>
            </w:r>
          </w:p>
        </w:tc>
        <w:tc>
          <w:tcPr>
            <w:tcW w:w="7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1,5–30 МГц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(за исключением портативных и мобильных радиостанции СВ диапазона (26970-27410; 27410-27860 кГц))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6" w:id="3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305"/>
        </w:tc>
        <w:tc>
          <w:tcPr>
            <w:tcW w:w="4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Станции радиорелейной линии</w:t>
            </w:r>
          </w:p>
        </w:tc>
        <w:tc>
          <w:tcPr>
            <w:tcW w:w="7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Частоты, предназначенные для фиксированной службы согласно Национальной таблице*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7" w:id="3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306"/>
        </w:tc>
        <w:tc>
          <w:tcPr>
            <w:tcW w:w="4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Стационарные (базовые) станции системы беспроводного радиодоступа (WLL)</w:t>
            </w:r>
          </w:p>
        </w:tc>
        <w:tc>
          <w:tcPr>
            <w:tcW w:w="7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Частоты, предназначенные для фиксированной службы, согласно Национальной таблице*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8" w:id="3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Системы спутниковой связи</w:t>
            </w:r>
          </w:p>
          <w:bookmarkEnd w:id="307"/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9" w:id="3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308"/>
        </w:tc>
        <w:tc>
          <w:tcPr>
            <w:tcW w:w="4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Стационарные станции систем глобальной подвижной спутниковой связи "Thuraya", "Inmarsat", "Globalstar", "Inmarsat Global Xpress", "Iridium" и т.д.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Частоты, предназначенные для подвижной спутниковой службы, согласно Национальной таблице*</w:t>
            </w:r>
          </w:p>
        </w:tc>
        <w:tc>
          <w:tcPr>
            <w:tcW w:w="7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1525,0-1559,0 МГц (космос-Земля);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1610,0-1660,5 МГц (Земля-космос);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2483,5-2500,0 МГц (космос-Земля);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19,7 – 20,2 ГГц (космос-Земля);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29,5 – 30 ГГц (Земля-космос);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19,6 ГГц (космос-Земля);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29,1 – 29,3 ГГц (Земля-космос) 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0" w:id="3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309"/>
        </w:tc>
        <w:tc>
          <w:tcPr>
            <w:tcW w:w="4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Стационарные земные станции ***, в том числе наземные станции управления космическими аппаратами </w:t>
            </w:r>
          </w:p>
        </w:tc>
        <w:tc>
          <w:tcPr>
            <w:tcW w:w="7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Частоты, выделенные согласно Национальной таблице*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1" w:id="3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310"/>
        </w:tc>
        <w:tc>
          <w:tcPr>
            <w:tcW w:w="4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Телевизионные передвижные репортажные станции, имеющие в своем составе передающие устройства (станции радиорелейной, спутниковой связи), а также перевозимые земные станции спутниковой связи.</w:t>
            </w:r>
          </w:p>
        </w:tc>
        <w:tc>
          <w:tcPr>
            <w:tcW w:w="7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Частоты, предназначенные для фиксированной и фиксированной спутниковой служб, согласно Национальной таблице*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2" w:id="3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Приемно-передающие устройства морской подвижной службы</w:t>
            </w:r>
          </w:p>
          <w:bookmarkEnd w:id="311"/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3" w:id="3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312"/>
        </w:tc>
        <w:tc>
          <w:tcPr>
            <w:tcW w:w="4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РЭС морской службы (береговые, радиолокационные станции, радиомаяки и т.п.)</w:t>
            </w:r>
          </w:p>
        </w:tc>
        <w:tc>
          <w:tcPr>
            <w:tcW w:w="7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Частоты, предназначенные для соответствующих служб, согласно Национальной таблице* и Регламенту радиосвязи Международного союза электросвязи</w:t>
            </w:r>
          </w:p>
        </w:tc>
      </w:tr>
    </w:tbl>
    <w:bookmarkStart w:name="z854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основные сокращения, указанные в перечне РЭС, на которые требуется проведения расчета ЭМС РЭС и ВЧУ и получение Разрешения на РЧС, заключения ЭМС РЭС и ВЧУ:</w:t>
      </w:r>
    </w:p>
    <w:bookmarkEnd w:id="313"/>
    <w:bookmarkStart w:name="z855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* </w:t>
      </w:r>
      <w:r>
        <w:rPr>
          <w:rFonts w:ascii="Times New Roman"/>
          <w:b w:val="false"/>
          <w:i w:val="false"/>
          <w:color w:val="000000"/>
          <w:sz w:val="28"/>
        </w:rPr>
        <w:t>Таблица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распределения полос частот между радиослужбами Республики Казахстан в диапазоне частот от 3 кГц до 400 ГГц для радиоэлектронных средств всех назначений, утвержденная приказом исполняющего обязанности Министра по инвестициям и развитию Республики Казахстан от 20 января 2015 года № 22;</w:t>
      </w:r>
    </w:p>
    <w:bookmarkEnd w:id="314"/>
    <w:bookmarkStart w:name="z856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 Для подвижных РЭС УКВ-радиосвязи проведение расчетов и оформление заключения экспертизы ЭМС РЭС не требуется;</w:t>
      </w:r>
    </w:p>
    <w:bookmarkEnd w:id="315"/>
    <w:bookmarkStart w:name="z857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*** Для VSAT-станций, работающие по HUB-технологии, разрешение на использование радиочастотного спектра не требуется, при условии получения разрешения на использование радиочастотного спектра для Центральной земной станции спутниковой связи сети VSAT (HUB).</w:t>
      </w:r>
    </w:p>
    <w:bookmarkEnd w:id="316"/>
    <w:bookmarkStart w:name="z858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присвоенных радиочастот для VSAT-станций должно осуществляться без претензий на помехи от РЭС различного назначения, а также не должно ограничивать функционирование действующих РЭС других назначений, частотные присвоения которым присвоены (назначены) в установленном порядке.</w:t>
      </w:r>
    </w:p>
    <w:bookmarkEnd w:id="317"/>
    <w:bookmarkStart w:name="z859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создания недопустимых помех со стороны введенной в эксплуатацию VSAT-станций, ее владелец обязан принять меры по устранению помех и обеспечению ЭМС своей станции с РЭС других назначений в районе их совместного использования;</w:t>
      </w:r>
    </w:p>
    <w:bookmarkEnd w:id="318"/>
    <w:bookmarkStart w:name="z860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Проведение расчета ЭМС для VSAT-станций и оформление заключения экспертизы ЭМС сохраняется, за исключением VSAT-станций с HUB-технологией, с мощностью передатчика 2Вт и менее, ЭИИМ 50 дБВт и менее, диаметр антенн 2,4м и менее, работающих с космическими объектами, наземный комплекс управления которых расположен на территории Содружества Независимых Государств.</w:t>
      </w:r>
    </w:p>
    <w:bookmarkEnd w:id="319"/>
    <w:bookmarkStart w:name="z861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ВЧУ — высокочастотные устройства;</w:t>
      </w:r>
    </w:p>
    <w:bookmarkEnd w:id="320"/>
    <w:bookmarkStart w:name="z862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ДВ — длинные волны;</w:t>
      </w:r>
    </w:p>
    <w:bookmarkEnd w:id="321"/>
    <w:bookmarkStart w:name="z863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КВ – короткие волны;</w:t>
      </w:r>
    </w:p>
    <w:bookmarkEnd w:id="322"/>
    <w:bookmarkStart w:name="z864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РЧС – радиочастотный спектр;</w:t>
      </w:r>
    </w:p>
    <w:bookmarkEnd w:id="323"/>
    <w:bookmarkStart w:name="z865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РЭС – радиоэлектронное средство;</w:t>
      </w:r>
    </w:p>
    <w:bookmarkEnd w:id="324"/>
    <w:bookmarkStart w:name="z866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 – средние волны;</w:t>
      </w:r>
    </w:p>
    <w:bookmarkEnd w:id="325"/>
    <w:bookmarkStart w:name="z867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УKB – ультракороткие волны;</w:t>
      </w:r>
    </w:p>
    <w:bookmarkEnd w:id="326"/>
    <w:bookmarkStart w:name="z868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ЭИИМ – эффективная изотропная излучаемая мощность;</w:t>
      </w:r>
    </w:p>
    <w:bookmarkEnd w:id="327"/>
    <w:bookmarkStart w:name="z869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ЭМС – электромагнитная совместимость;</w:t>
      </w:r>
    </w:p>
    <w:bookmarkEnd w:id="328"/>
    <w:bookmarkStart w:name="z870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HUB – центральная станция;</w:t>
      </w:r>
    </w:p>
    <w:bookmarkEnd w:id="329"/>
    <w:bookmarkStart w:name="z871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VSAT - Very Small Aperture Terminal (земная станция спутниковой связи с малой апертурой антенны);</w:t>
      </w:r>
    </w:p>
    <w:bookmarkEnd w:id="330"/>
    <w:bookmarkStart w:name="z872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WLL - wireless local loop (беспроводной абонентский доступ);</w:t>
      </w:r>
    </w:p>
    <w:bookmarkEnd w:id="331"/>
    <w:bookmarkStart w:name="z873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Единицы измерения:</w:t>
      </w:r>
    </w:p>
    <w:bookmarkEnd w:id="332"/>
    <w:bookmarkStart w:name="z874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ГГц – гигагерц;</w:t>
      </w:r>
    </w:p>
    <w:bookmarkEnd w:id="333"/>
    <w:bookmarkStart w:name="z875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кГц – килогерц;</w:t>
      </w:r>
    </w:p>
    <w:bookmarkEnd w:id="334"/>
    <w:bookmarkStart w:name="z876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МГц – мегагерц.</w:t>
      </w:r>
    </w:p>
    <w:bookmarkEnd w:id="33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информации и коммуникаций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июля 2017 года № 270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присвоения полос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частот, радиочастот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(радиочастотных каналов),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эксплуатации радиоэлектронных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 и высокочастотных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устройств, а также проведения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расчета электромагнитной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совместимости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радиоэлектронных средств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гражданского назначения </w:t>
            </w:r>
          </w:p>
        </w:tc>
      </w:tr>
    </w:tbl>
    <w:bookmarkStart w:name="z879" w:id="3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Коды по видам связи</w:t>
      </w:r>
    </w:p>
    <w:bookmarkEnd w:id="3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53"/>
        <w:gridCol w:w="10247"/>
      </w:tblGrid>
      <w:tr>
        <w:trPr>
          <w:trHeight w:val="3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№ кода
</w:t>
            </w:r>
          </w:p>
        </w:tc>
        <w:tc>
          <w:tcPr>
            <w:tcW w:w="10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Вид связи
</w:t>
            </w:r>
          </w:p>
        </w:tc>
      </w:tr>
      <w:tr>
        <w:trPr>
          <w:trHeight w:val="3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1" w:id="3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337"/>
        </w:tc>
        <w:tc>
          <w:tcPr>
            <w:tcW w:w="10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Эфирное аналоговое телевидение</w:t>
            </w:r>
          </w:p>
        </w:tc>
      </w:tr>
      <w:tr>
        <w:trPr>
          <w:trHeight w:val="3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2" w:id="3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338"/>
        </w:tc>
        <w:tc>
          <w:tcPr>
            <w:tcW w:w="10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Эфирно-кабельное телевидение (MMDS) </w:t>
            </w:r>
          </w:p>
        </w:tc>
      </w:tr>
      <w:tr>
        <w:trPr>
          <w:trHeight w:val="3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3" w:id="3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339"/>
        </w:tc>
        <w:tc>
          <w:tcPr>
            <w:tcW w:w="10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Радиовещание</w:t>
            </w:r>
          </w:p>
        </w:tc>
      </w:tr>
      <w:tr>
        <w:trPr>
          <w:trHeight w:val="3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4" w:id="3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  <w:bookmarkEnd w:id="340"/>
        </w:tc>
        <w:tc>
          <w:tcPr>
            <w:tcW w:w="10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Сотовая (GSM, CDMA) </w:t>
            </w:r>
          </w:p>
        </w:tc>
      </w:tr>
      <w:tr>
        <w:trPr>
          <w:trHeight w:val="3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5" w:id="3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  <w:bookmarkEnd w:id="341"/>
        </w:tc>
        <w:tc>
          <w:tcPr>
            <w:tcW w:w="10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Транкинговая </w:t>
            </w:r>
          </w:p>
        </w:tc>
      </w:tr>
      <w:tr>
        <w:trPr>
          <w:trHeight w:val="3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6" w:id="3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  <w:bookmarkEnd w:id="342"/>
        </w:tc>
        <w:tc>
          <w:tcPr>
            <w:tcW w:w="10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Радиотелефонная </w:t>
            </w:r>
          </w:p>
        </w:tc>
      </w:tr>
      <w:tr>
        <w:trPr>
          <w:trHeight w:val="3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7" w:id="3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  <w:bookmarkEnd w:id="343"/>
        </w:tc>
        <w:tc>
          <w:tcPr>
            <w:tcW w:w="10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Радиосвязь УКВ-диапазона (стационарные радиостанции) </w:t>
            </w:r>
          </w:p>
        </w:tc>
      </w:tr>
      <w:tr>
        <w:trPr>
          <w:trHeight w:val="3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8" w:id="3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  <w:bookmarkEnd w:id="344"/>
        </w:tc>
        <w:tc>
          <w:tcPr>
            <w:tcW w:w="10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Радиосвязь КВ-диапазона </w:t>
            </w:r>
          </w:p>
        </w:tc>
      </w:tr>
      <w:tr>
        <w:trPr>
          <w:trHeight w:val="3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9" w:id="3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  <w:bookmarkEnd w:id="345"/>
        </w:tc>
        <w:tc>
          <w:tcPr>
            <w:tcW w:w="10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Радиосвязь УКВ-диапазона (подвижные радиостанции)</w:t>
            </w:r>
          </w:p>
        </w:tc>
      </w:tr>
      <w:tr>
        <w:trPr>
          <w:trHeight w:val="3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0" w:id="3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  <w:bookmarkEnd w:id="346"/>
        </w:tc>
        <w:tc>
          <w:tcPr>
            <w:tcW w:w="10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Радиорелейная связь (магистральные линии) </w:t>
            </w:r>
          </w:p>
        </w:tc>
      </w:tr>
      <w:tr>
        <w:trPr>
          <w:trHeight w:val="3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1" w:id="3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  <w:bookmarkEnd w:id="347"/>
        </w:tc>
        <w:tc>
          <w:tcPr>
            <w:tcW w:w="10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Радиорелейная связь (зоновые линии) </w:t>
            </w:r>
          </w:p>
        </w:tc>
      </w:tr>
      <w:tr>
        <w:trPr>
          <w:trHeight w:val="3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2" w:id="3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  <w:bookmarkEnd w:id="348"/>
        </w:tc>
        <w:tc>
          <w:tcPr>
            <w:tcW w:w="10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Радиорелейная связь (местные линии) </w:t>
            </w:r>
          </w:p>
        </w:tc>
      </w:tr>
      <w:tr>
        <w:trPr>
          <w:trHeight w:val="3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3" w:id="3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  <w:bookmarkEnd w:id="349"/>
        </w:tc>
        <w:tc>
          <w:tcPr>
            <w:tcW w:w="10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Радиорелейная связь (линии для передачи телевизионных сигналов)</w:t>
            </w:r>
          </w:p>
        </w:tc>
      </w:tr>
      <w:tr>
        <w:trPr>
          <w:trHeight w:val="3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4" w:id="3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  <w:bookmarkEnd w:id="350"/>
        </w:tc>
        <w:tc>
          <w:tcPr>
            <w:tcW w:w="10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Спутниковая связь (земные станции, используемые для связи и радиовещания) </w:t>
            </w:r>
          </w:p>
        </w:tc>
      </w:tr>
      <w:tr>
        <w:trPr>
          <w:trHeight w:val="3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5" w:id="3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  <w:bookmarkEnd w:id="351"/>
        </w:tc>
        <w:tc>
          <w:tcPr>
            <w:tcW w:w="10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Спутниковая связь (земные станции, используемые для управления космическими аппаратами) </w:t>
            </w:r>
          </w:p>
        </w:tc>
      </w:tr>
      <w:tr>
        <w:trPr>
          <w:trHeight w:val="3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6" w:id="3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  <w:bookmarkEnd w:id="352"/>
        </w:tc>
        <w:tc>
          <w:tcPr>
            <w:tcW w:w="10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Беспроводная широкополосная связь (WLL) </w:t>
            </w:r>
          </w:p>
        </w:tc>
      </w:tr>
      <w:tr>
        <w:trPr>
          <w:trHeight w:val="3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7" w:id="3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  <w:bookmarkEnd w:id="353"/>
        </w:tc>
        <w:tc>
          <w:tcPr>
            <w:tcW w:w="10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Системы беспроводного радиодоступа (УКВ-диапазона) </w:t>
            </w:r>
          </w:p>
        </w:tc>
      </w:tr>
      <w:tr>
        <w:trPr>
          <w:trHeight w:val="3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8" w:id="3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  <w:bookmarkEnd w:id="354"/>
        </w:tc>
        <w:tc>
          <w:tcPr>
            <w:tcW w:w="10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Сотовая связь третьего поколения (UMTS)</w:t>
            </w:r>
          </w:p>
        </w:tc>
      </w:tr>
      <w:tr>
        <w:trPr>
          <w:trHeight w:val="3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9" w:id="3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  <w:bookmarkEnd w:id="355"/>
        </w:tc>
        <w:tc>
          <w:tcPr>
            <w:tcW w:w="10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Сотовая связь четвертого поколения (LTE)</w:t>
            </w:r>
          </w:p>
        </w:tc>
      </w:tr>
      <w:tr>
        <w:trPr>
          <w:trHeight w:val="3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0" w:id="3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  <w:bookmarkEnd w:id="356"/>
        </w:tc>
        <w:tc>
          <w:tcPr>
            <w:tcW w:w="10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Эфирное цифровое телевидение</w:t>
            </w:r>
          </w:p>
        </w:tc>
      </w:tr>
    </w:tbl>
    <w:bookmarkStart w:name="z901" w:id="3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Коды в системе обозначений объектов административно-территориального деления Республики Казахстан</w:t>
      </w:r>
    </w:p>
    <w:bookmarkEnd w:id="35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104"/>
        <w:gridCol w:w="4196"/>
      </w:tblGrid>
      <w:tr>
        <w:trPr>
          <w:trHeight w:val="30" w:hRule="atLeast"/>
        </w:trPr>
        <w:tc>
          <w:tcPr>
            <w:tcW w:w="8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№ кода
</w:t>
            </w:r>
          </w:p>
        </w:tc>
        <w:tc>
          <w:tcPr>
            <w:tcW w:w="4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Территория
</w:t>
            </w:r>
          </w:p>
        </w:tc>
      </w:tr>
      <w:tr>
        <w:trPr>
          <w:trHeight w:val="30" w:hRule="atLeast"/>
        </w:trPr>
        <w:tc>
          <w:tcPr>
            <w:tcW w:w="8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3" w:id="3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</w:t>
            </w:r>
          </w:p>
          <w:bookmarkEnd w:id="358"/>
        </w:tc>
        <w:tc>
          <w:tcPr>
            <w:tcW w:w="4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Астана</w:t>
            </w:r>
          </w:p>
        </w:tc>
      </w:tr>
      <w:tr>
        <w:trPr>
          <w:trHeight w:val="30" w:hRule="atLeast"/>
        </w:trPr>
        <w:tc>
          <w:tcPr>
            <w:tcW w:w="8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4" w:id="3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902</w:t>
            </w:r>
          </w:p>
          <w:bookmarkEnd w:id="359"/>
        </w:tc>
        <w:tc>
          <w:tcPr>
            <w:tcW w:w="4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Акмолинская область </w:t>
            </w:r>
          </w:p>
        </w:tc>
      </w:tr>
      <w:tr>
        <w:trPr>
          <w:trHeight w:val="30" w:hRule="atLeast"/>
        </w:trPr>
        <w:tc>
          <w:tcPr>
            <w:tcW w:w="8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5" w:id="3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904</w:t>
            </w:r>
          </w:p>
          <w:bookmarkEnd w:id="360"/>
        </w:tc>
        <w:tc>
          <w:tcPr>
            <w:tcW w:w="4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Актюбинская область </w:t>
            </w:r>
          </w:p>
        </w:tc>
      </w:tr>
      <w:tr>
        <w:trPr>
          <w:trHeight w:val="30" w:hRule="atLeast"/>
        </w:trPr>
        <w:tc>
          <w:tcPr>
            <w:tcW w:w="8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6" w:id="3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907</w:t>
            </w:r>
          </w:p>
          <w:bookmarkEnd w:id="361"/>
        </w:tc>
        <w:tc>
          <w:tcPr>
            <w:tcW w:w="4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Алматинская область</w:t>
            </w:r>
          </w:p>
        </w:tc>
      </w:tr>
      <w:tr>
        <w:trPr>
          <w:trHeight w:val="30" w:hRule="atLeast"/>
        </w:trPr>
        <w:tc>
          <w:tcPr>
            <w:tcW w:w="8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7" w:id="3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</w:t>
            </w:r>
          </w:p>
          <w:bookmarkEnd w:id="362"/>
        </w:tc>
        <w:tc>
          <w:tcPr>
            <w:tcW w:w="4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г. Алматы </w:t>
            </w:r>
          </w:p>
        </w:tc>
      </w:tr>
      <w:tr>
        <w:trPr>
          <w:trHeight w:val="30" w:hRule="atLeast"/>
        </w:trPr>
        <w:tc>
          <w:tcPr>
            <w:tcW w:w="8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8" w:id="3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915</w:t>
            </w:r>
          </w:p>
          <w:bookmarkEnd w:id="363"/>
        </w:tc>
        <w:tc>
          <w:tcPr>
            <w:tcW w:w="4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Атырауская область </w:t>
            </w:r>
          </w:p>
        </w:tc>
      </w:tr>
      <w:tr>
        <w:trPr>
          <w:trHeight w:val="30" w:hRule="atLeast"/>
        </w:trPr>
        <w:tc>
          <w:tcPr>
            <w:tcW w:w="8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9" w:id="3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917</w:t>
            </w:r>
          </w:p>
          <w:bookmarkEnd w:id="364"/>
        </w:tc>
        <w:tc>
          <w:tcPr>
            <w:tcW w:w="4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Восточно-Казахстанская область </w:t>
            </w:r>
          </w:p>
        </w:tc>
      </w:tr>
      <w:tr>
        <w:trPr>
          <w:trHeight w:val="30" w:hRule="atLeast"/>
        </w:trPr>
        <w:tc>
          <w:tcPr>
            <w:tcW w:w="8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0" w:id="3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919</w:t>
            </w:r>
          </w:p>
          <w:bookmarkEnd w:id="365"/>
        </w:tc>
        <w:tc>
          <w:tcPr>
            <w:tcW w:w="4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Жамбылская область </w:t>
            </w:r>
          </w:p>
        </w:tc>
      </w:tr>
      <w:tr>
        <w:trPr>
          <w:trHeight w:val="30" w:hRule="atLeast"/>
        </w:trPr>
        <w:tc>
          <w:tcPr>
            <w:tcW w:w="8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1" w:id="3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926</w:t>
            </w:r>
          </w:p>
          <w:bookmarkEnd w:id="366"/>
        </w:tc>
        <w:tc>
          <w:tcPr>
            <w:tcW w:w="4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Западно-Казахстанская область </w:t>
            </w:r>
          </w:p>
        </w:tc>
      </w:tr>
      <w:tr>
        <w:trPr>
          <w:trHeight w:val="30" w:hRule="atLeast"/>
        </w:trPr>
        <w:tc>
          <w:tcPr>
            <w:tcW w:w="8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2" w:id="3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</w:t>
            </w:r>
          </w:p>
          <w:bookmarkEnd w:id="367"/>
        </w:tc>
        <w:tc>
          <w:tcPr>
            <w:tcW w:w="4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Карагандинская область </w:t>
            </w:r>
          </w:p>
        </w:tc>
      </w:tr>
      <w:tr>
        <w:trPr>
          <w:trHeight w:val="30" w:hRule="atLeast"/>
        </w:trPr>
        <w:tc>
          <w:tcPr>
            <w:tcW w:w="8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3" w:id="3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933</w:t>
            </w:r>
          </w:p>
          <w:bookmarkEnd w:id="368"/>
        </w:tc>
        <w:tc>
          <w:tcPr>
            <w:tcW w:w="4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Кызылординская область</w:t>
            </w:r>
          </w:p>
        </w:tc>
      </w:tr>
      <w:tr>
        <w:trPr>
          <w:trHeight w:val="30" w:hRule="atLeast"/>
        </w:trPr>
        <w:tc>
          <w:tcPr>
            <w:tcW w:w="8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4" w:id="3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937</w:t>
            </w:r>
          </w:p>
          <w:bookmarkEnd w:id="369"/>
        </w:tc>
        <w:tc>
          <w:tcPr>
            <w:tcW w:w="4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Костанайская область </w:t>
            </w:r>
          </w:p>
        </w:tc>
      </w:tr>
      <w:tr>
        <w:trPr>
          <w:trHeight w:val="30" w:hRule="atLeast"/>
        </w:trPr>
        <w:tc>
          <w:tcPr>
            <w:tcW w:w="8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5" w:id="3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943</w:t>
            </w:r>
          </w:p>
          <w:bookmarkEnd w:id="370"/>
        </w:tc>
        <w:tc>
          <w:tcPr>
            <w:tcW w:w="4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Мангыстауская область </w:t>
            </w:r>
          </w:p>
        </w:tc>
      </w:tr>
      <w:tr>
        <w:trPr>
          <w:trHeight w:val="30" w:hRule="atLeast"/>
        </w:trPr>
        <w:tc>
          <w:tcPr>
            <w:tcW w:w="8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6" w:id="3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945</w:t>
            </w:r>
          </w:p>
          <w:bookmarkEnd w:id="371"/>
        </w:tc>
        <w:tc>
          <w:tcPr>
            <w:tcW w:w="4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Павлодарская область </w:t>
            </w:r>
          </w:p>
        </w:tc>
      </w:tr>
      <w:tr>
        <w:trPr>
          <w:trHeight w:val="30" w:hRule="atLeast"/>
        </w:trPr>
        <w:tc>
          <w:tcPr>
            <w:tcW w:w="8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7" w:id="3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948</w:t>
            </w:r>
          </w:p>
          <w:bookmarkEnd w:id="372"/>
        </w:tc>
        <w:tc>
          <w:tcPr>
            <w:tcW w:w="4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 </w:t>
            </w:r>
          </w:p>
        </w:tc>
      </w:tr>
      <w:tr>
        <w:trPr>
          <w:trHeight w:val="30" w:hRule="atLeast"/>
        </w:trPr>
        <w:tc>
          <w:tcPr>
            <w:tcW w:w="8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8" w:id="3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958</w:t>
            </w:r>
          </w:p>
          <w:bookmarkEnd w:id="373"/>
        </w:tc>
        <w:tc>
          <w:tcPr>
            <w:tcW w:w="4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Южно-Казахстанская область </w:t>
            </w:r>
          </w:p>
        </w:tc>
      </w:tr>
    </w:tbl>
    <w:bookmarkStart w:name="z919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основные сокращения, указанные в перечне:</w:t>
      </w:r>
    </w:p>
    <w:bookmarkEnd w:id="37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723"/>
        <w:gridCol w:w="431"/>
        <w:gridCol w:w="10146"/>
      </w:tblGrid>
      <w:tr>
        <w:trPr>
          <w:trHeight w:val="30" w:hRule="atLeast"/>
        </w:trPr>
        <w:tc>
          <w:tcPr>
            <w:tcW w:w="17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0" w:id="3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MMDS</w:t>
            </w:r>
          </w:p>
          <w:bookmarkEnd w:id="375"/>
        </w:tc>
        <w:tc>
          <w:tcPr>
            <w:tcW w:w="43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014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Multichannel Multipoint distribution system (многоканальная многоточечная распределительная система);</w:t>
            </w:r>
          </w:p>
        </w:tc>
      </w:tr>
      <w:tr>
        <w:trPr>
          <w:trHeight w:val="30" w:hRule="atLeast"/>
        </w:trPr>
        <w:tc>
          <w:tcPr>
            <w:tcW w:w="17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1" w:id="3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GSM</w:t>
            </w:r>
          </w:p>
          <w:bookmarkEnd w:id="376"/>
        </w:tc>
        <w:tc>
          <w:tcPr>
            <w:tcW w:w="43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014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Global system for mobile communications (глобальный стандарт цифровой мобильной связи);</w:t>
            </w:r>
          </w:p>
        </w:tc>
      </w:tr>
      <w:tr>
        <w:trPr>
          <w:trHeight w:val="30" w:hRule="atLeast"/>
        </w:trPr>
        <w:tc>
          <w:tcPr>
            <w:tcW w:w="17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2" w:id="3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CDMA</w:t>
            </w:r>
          </w:p>
          <w:bookmarkEnd w:id="377"/>
        </w:tc>
        <w:tc>
          <w:tcPr>
            <w:tcW w:w="43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014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code division multiple access (множественный доступ с кодовым разделением);</w:t>
            </w:r>
          </w:p>
        </w:tc>
      </w:tr>
      <w:tr>
        <w:trPr>
          <w:trHeight w:val="30" w:hRule="atLeast"/>
        </w:trPr>
        <w:tc>
          <w:tcPr>
            <w:tcW w:w="17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3" w:id="3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УКВ</w:t>
            </w:r>
          </w:p>
          <w:bookmarkEnd w:id="378"/>
        </w:tc>
        <w:tc>
          <w:tcPr>
            <w:tcW w:w="43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014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ультра-короткие волны;</w:t>
            </w:r>
          </w:p>
        </w:tc>
      </w:tr>
      <w:tr>
        <w:trPr>
          <w:trHeight w:val="30" w:hRule="atLeast"/>
        </w:trPr>
        <w:tc>
          <w:tcPr>
            <w:tcW w:w="17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4" w:id="3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КВ</w:t>
            </w:r>
          </w:p>
          <w:bookmarkEnd w:id="379"/>
        </w:tc>
        <w:tc>
          <w:tcPr>
            <w:tcW w:w="43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014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короткие волны;</w:t>
            </w:r>
          </w:p>
        </w:tc>
      </w:tr>
      <w:tr>
        <w:trPr>
          <w:trHeight w:val="30" w:hRule="atLeast"/>
        </w:trPr>
        <w:tc>
          <w:tcPr>
            <w:tcW w:w="17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5" w:id="3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WLL</w:t>
            </w:r>
          </w:p>
          <w:bookmarkEnd w:id="380"/>
        </w:tc>
        <w:tc>
          <w:tcPr>
            <w:tcW w:w="43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014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wireless local loop (система беспроводного радиодоступа);</w:t>
            </w:r>
          </w:p>
        </w:tc>
      </w:tr>
      <w:tr>
        <w:trPr>
          <w:trHeight w:val="30" w:hRule="atLeast"/>
        </w:trPr>
        <w:tc>
          <w:tcPr>
            <w:tcW w:w="17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6" w:id="3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UMTS</w:t>
            </w:r>
          </w:p>
          <w:bookmarkEnd w:id="381"/>
        </w:tc>
        <w:tc>
          <w:tcPr>
            <w:tcW w:w="43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014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third generation (третье поколение сотовой связи);</w:t>
            </w:r>
          </w:p>
        </w:tc>
      </w:tr>
      <w:tr>
        <w:trPr>
          <w:trHeight w:val="30" w:hRule="atLeast"/>
        </w:trPr>
        <w:tc>
          <w:tcPr>
            <w:tcW w:w="17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7" w:id="3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LTE</w:t>
            </w:r>
          </w:p>
          <w:bookmarkEnd w:id="382"/>
        </w:tc>
        <w:tc>
          <w:tcPr>
            <w:tcW w:w="43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014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fourth generation (четвертое поколение сотовой связи);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информации и коммуникаций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июля 2017 года № 270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присвоения полос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частот, радиочастот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(радиочастотных каналов),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эксплуатации радиоэлектронных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 и высокочастотных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устройств, а также проведения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расчета электромагнитной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совместимости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радиоэлектронных средств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назначения</w:t>
            </w:r>
          </w:p>
        </w:tc>
      </w:tr>
    </w:tbl>
    <w:bookmarkStart w:name="z931" w:id="3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РЭС и ВЧУ, на которые требуется получение</w:t>
      </w:r>
    </w:p>
    <w:bookmarkEnd w:id="383"/>
    <w:bookmarkStart w:name="z932" w:id="3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Разрешения на эксплуатацию РЭС и ВЧУ</w:t>
      </w:r>
    </w:p>
    <w:bookmarkEnd w:id="38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4"/>
        <w:gridCol w:w="1504"/>
        <w:gridCol w:w="12407"/>
      </w:tblGrid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п/п
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Типы радиоэлектронных средств и высокочастотных устройств
</w:t>
            </w:r>
          </w:p>
        </w:tc>
        <w:tc>
          <w:tcPr>
            <w:tcW w:w="1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Полоса (номиналы) используемых радиочастот
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1
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2
</w:t>
            </w:r>
          </w:p>
        </w:tc>
        <w:tc>
          <w:tcPr>
            <w:tcW w:w="1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3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5" w:id="3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Радиопередающие устройства, предназначенные для телевизионного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звукового вещания, передачи звукового сигнала</w:t>
            </w:r>
          </w:p>
          <w:bookmarkEnd w:id="385"/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6" w:id="3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386"/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Радиопередающие устройства, предназначенные для передачи телевизионного вещания в диапазоне</w:t>
            </w:r>
          </w:p>
        </w:tc>
        <w:tc>
          <w:tcPr>
            <w:tcW w:w="1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Частоты, выделенные согласно Национальной таблице*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7" w:id="3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387"/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Станции эфирно-кабельного телевидения:</w:t>
            </w:r>
          </w:p>
        </w:tc>
        <w:tc>
          <w:tcPr>
            <w:tcW w:w="1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Частоты, выделенные согласно Национальной таблице*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8" w:id="3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388"/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Радиопередающие устройства, предназначенные для передачи звукового (радио) вещания</w:t>
            </w:r>
          </w:p>
        </w:tc>
        <w:tc>
          <w:tcPr>
            <w:tcW w:w="1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Частоты, выделенные согласно Национальной таблице*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9" w:id="3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Приемо-передающее оборудование наземной радиосвязи</w:t>
            </w:r>
          </w:p>
          <w:bookmarkEnd w:id="389"/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0" w:id="3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390"/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Стационарные и подвижные (включая носимые) приемо-передающие радиоэлектронные средства (далее – РЭС), предназначенные для: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УKB - радиосвязи транкинговой системы радиосвязи</w:t>
            </w:r>
          </w:p>
        </w:tc>
        <w:tc>
          <w:tcPr>
            <w:tcW w:w="1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33–48,5 МГц; 57–57,5 МГц; 117,975-137 МГц, 146–174 МГц, 380–385 МГц, 390–470 МГц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(За исключением маломощных носимых РЭС до 2Ватт (151,625; 159,775; 433.075-434.775; 462,5625; 462,5875; 462,6125; 462,6375; 467,5625; 467,5875; 467,6125; 467,6375; 467,6625; 467,6875;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467,7125 МГц)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1" w:id="3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91"/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Стационарные (базовые) приемопередающие станции, предназначенные для радиотелеметрии, станции пейджинговой связи</w:t>
            </w:r>
          </w:p>
        </w:tc>
        <w:tc>
          <w:tcPr>
            <w:tcW w:w="1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117,975-137 МГц, 146–174; 380–385 МГц, 390–470 МГц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2" w:id="3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392"/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Стационарные (базовые) станции сотовой связи, в том числе внутриобъектовые indoor системы.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Фемтосоты **</w:t>
            </w:r>
          </w:p>
        </w:tc>
        <w:tc>
          <w:tcPr>
            <w:tcW w:w="1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Частоты, выделенные согласно Национальной таблице*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3" w:id="3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393"/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Стационарные и подвижные РЭС ДВ, СВ, КВ-диапазона</w:t>
            </w:r>
          </w:p>
        </w:tc>
        <w:tc>
          <w:tcPr>
            <w:tcW w:w="1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1,5–30 МГц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(за исключением портативных и мобильных радиостанции СВ диапазона (26970-27410; 27410-27860 кГц))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4" w:id="3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394"/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Станции радиорелейной линии</w:t>
            </w:r>
          </w:p>
        </w:tc>
        <w:tc>
          <w:tcPr>
            <w:tcW w:w="1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Частоты, предназначенные для фиксированной службы, согласно Национальной таблице*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5" w:id="3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395"/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Стационарные (базовые) системы беспроводного радиодоступа (WLL)</w:t>
            </w:r>
          </w:p>
        </w:tc>
        <w:tc>
          <w:tcPr>
            <w:tcW w:w="1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Частоты, предназначенные для фиксированной службы, согласно Национальной таблице*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6" w:id="3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396"/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Стационарные (базовые) станции беспроводной связи стандарта DECT</w:t>
            </w:r>
          </w:p>
        </w:tc>
        <w:tc>
          <w:tcPr>
            <w:tcW w:w="1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1880–1920 МГц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7" w:id="3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397"/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Радиоудлинители телефонного канала: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Радиочастотная группа № 1</w:t>
            </w:r>
          </w:p>
        </w:tc>
        <w:tc>
          <w:tcPr>
            <w:tcW w:w="1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6150"/>
              <w:gridCol w:w="6150"/>
            </w:tblGrid>
            <w:tr>
              <w:trPr>
                <w:trHeight w:val="30" w:hRule="atLeast"/>
              </w:trPr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прием (МГц):</w:t>
                  </w:r>
                </w:p>
              </w:tc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передача(МГц):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252,9125</w:t>
                  </w:r>
                </w:p>
              </w:tc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379,2625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252,9250</w:t>
                  </w:r>
                </w:p>
              </w:tc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379,2750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253,0375</w:t>
                  </w:r>
                </w:p>
              </w:tc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379,3875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253,0500</w:t>
                  </w:r>
                </w:p>
              </w:tc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379,4000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253,1625</w:t>
                  </w:r>
                </w:p>
              </w:tc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379,5125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253,1750</w:t>
                  </w:r>
                </w:p>
              </w:tc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379,5250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253,2875</w:t>
                  </w:r>
                </w:p>
              </w:tc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379,6375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253,3000</w:t>
                  </w:r>
                </w:p>
              </w:tc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379,6500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Радиочастотная группа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Радиочастотная группа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Радиочастотная группа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Радиочастотная группа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Радиочастотная группа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Радиочастотная группа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6150"/>
              <w:gridCol w:w="6150"/>
            </w:tblGrid>
            <w:tr>
              <w:trPr>
                <w:trHeight w:val="30" w:hRule="atLeast"/>
              </w:trPr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253,4125</w:t>
                  </w:r>
                </w:p>
              </w:tc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379,7625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253,4250</w:t>
                  </w:r>
                </w:p>
              </w:tc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379,7750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253,5375</w:t>
                  </w:r>
                </w:p>
              </w:tc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379,8875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253,5500</w:t>
                  </w:r>
                </w:p>
              </w:tc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379,9000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253,6625</w:t>
                  </w:r>
                </w:p>
              </w:tc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380,0125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253,6750</w:t>
                  </w:r>
                </w:p>
              </w:tc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380,0250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253,7875</w:t>
                  </w:r>
                </w:p>
              </w:tc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380,1375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253,8000</w:t>
                  </w:r>
                </w:p>
              </w:tc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380,1500</w:t>
                  </w:r>
                </w:p>
              </w:tc>
            </w:tr>
          </w:tbl>
          <w:p/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6150"/>
              <w:gridCol w:w="6150"/>
            </w:tblGrid>
            <w:tr>
              <w:trPr>
                <w:trHeight w:val="30" w:hRule="atLeast"/>
              </w:trPr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307,5125</w:t>
                  </w:r>
                </w:p>
              </w:tc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343,5125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307,5250</w:t>
                  </w:r>
                </w:p>
              </w:tc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343,5250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307,5375</w:t>
                  </w:r>
                </w:p>
              </w:tc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343,5375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307,5500</w:t>
                  </w:r>
                </w:p>
              </w:tc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343,5500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307,5625</w:t>
                  </w:r>
                </w:p>
              </w:tc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343,5625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307,5750</w:t>
                  </w:r>
                </w:p>
              </w:tc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343,5750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307,5875</w:t>
                  </w:r>
                </w:p>
              </w:tc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343,5875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307,6000</w:t>
                  </w:r>
                </w:p>
              </w:tc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343,6000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6150"/>
              <w:gridCol w:w="6150"/>
            </w:tblGrid>
            <w:tr>
              <w:trPr>
                <w:trHeight w:val="30" w:hRule="atLeast"/>
              </w:trPr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307,6125</w:t>
                  </w:r>
                </w:p>
              </w:tc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343,6125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307,6250</w:t>
                  </w:r>
                </w:p>
              </w:tc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343,6250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307,6375</w:t>
                  </w:r>
                </w:p>
              </w:tc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343,6375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307,6500</w:t>
                  </w:r>
                </w:p>
              </w:tc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343,6500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307,6625</w:t>
                  </w:r>
                </w:p>
              </w:tc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343,6625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307,6750</w:t>
                  </w:r>
                </w:p>
              </w:tc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343,6750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307,6875</w:t>
                  </w:r>
                </w:p>
              </w:tc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343,6875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307,7000</w:t>
                  </w:r>
                </w:p>
              </w:tc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343,7000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6150"/>
              <w:gridCol w:w="6150"/>
            </w:tblGrid>
            <w:tr>
              <w:trPr>
                <w:trHeight w:val="30" w:hRule="atLeast"/>
              </w:trPr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307,7125</w:t>
                  </w:r>
                </w:p>
              </w:tc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343,7125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307,7250</w:t>
                  </w:r>
                </w:p>
              </w:tc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343,7250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307,7375</w:t>
                  </w:r>
                </w:p>
              </w:tc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343,7375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307,7500</w:t>
                  </w:r>
                </w:p>
              </w:tc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343,7500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307,7625</w:t>
                  </w:r>
                </w:p>
              </w:tc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343,7625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307,7700</w:t>
                  </w:r>
                </w:p>
              </w:tc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343,7700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307,7875</w:t>
                  </w:r>
                </w:p>
              </w:tc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343,7875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307,8000</w:t>
                  </w:r>
                </w:p>
              </w:tc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343,8000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6150"/>
              <w:gridCol w:w="6150"/>
            </w:tblGrid>
            <w:tr>
              <w:trPr>
                <w:trHeight w:val="30" w:hRule="atLeast"/>
              </w:trPr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307,8125</w:t>
                  </w:r>
                </w:p>
              </w:tc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343,8125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307,8250</w:t>
                  </w:r>
                </w:p>
              </w:tc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343,8250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307,8375</w:t>
                  </w:r>
                </w:p>
              </w:tc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343,8375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307,8500</w:t>
                  </w:r>
                </w:p>
              </w:tc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343,8500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307,8625</w:t>
                  </w:r>
                </w:p>
              </w:tc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343,8625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307,8750</w:t>
                  </w:r>
                </w:p>
              </w:tc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343,8750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307,8875</w:t>
                  </w:r>
                </w:p>
              </w:tc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343,8875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307,9000</w:t>
                  </w:r>
                </w:p>
              </w:tc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343,9000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6150"/>
              <w:gridCol w:w="6150"/>
            </w:tblGrid>
            <w:tr>
              <w:trPr>
                <w:trHeight w:val="30" w:hRule="atLeast"/>
              </w:trPr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307,9125</w:t>
                  </w:r>
                </w:p>
              </w:tc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343,9125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307,9250</w:t>
                  </w:r>
                </w:p>
              </w:tc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343,9250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307,9375</w:t>
                  </w:r>
                </w:p>
              </w:tc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343,9375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307,9500</w:t>
                  </w:r>
                </w:p>
              </w:tc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343,9500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307,9625</w:t>
                  </w:r>
                </w:p>
              </w:tc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343,9625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307,9750</w:t>
                  </w:r>
                </w:p>
              </w:tc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343,9750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307,9875</w:t>
                  </w:r>
                </w:p>
              </w:tc>
              <w:tc>
                <w:tcPr>
                  <w:tcW w:w="615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343,9875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9" w:id="3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398"/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РЭС радиолюбительской службы </w:t>
            </w:r>
          </w:p>
        </w:tc>
        <w:tc>
          <w:tcPr>
            <w:tcW w:w="1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Частоты, предназначенные для соответствующих служб, согласно Национальной таблице*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0" w:id="3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Системы спутниковой связи</w:t>
            </w:r>
          </w:p>
          <w:bookmarkEnd w:id="399"/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1" w:id="4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400"/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Стационарные и абонентские станции систем глобальной подвижной спутниковой связи "Thuraya", "Inmarsat", "Globalstar", "Inmarsat Global Xpress", "Iridium" и т.д.</w:t>
            </w:r>
          </w:p>
        </w:tc>
        <w:tc>
          <w:tcPr>
            <w:tcW w:w="1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1525,0-1559,0 МГц (космос-Земля);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1610,0-1660,5 МГц (Земля-космос);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2483,5-2500,0 МГц (космос-Земля);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19,7 – 20,2 ГГц (космос-Земля);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29,5 – 30 ГГц (Земля-космос);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19,6 ГГц (космос-Земля);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29,1 – 29,3 ГГц (Земля-космос) 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2" w:id="4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401"/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Стационарные земные станции***, в том числе наземные станции управления космическими аппаратами </w:t>
            </w:r>
          </w:p>
        </w:tc>
        <w:tc>
          <w:tcPr>
            <w:tcW w:w="1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Частоты, выделенные согласно Национальной таблице*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3" w:id="4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402"/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Телевизионные передвижные репортажные станции, имеющие в своем составе передающие устройства (станции радиорелейной, спутниковой связи), а также перевозимые земные станции спутниковой связи.</w:t>
            </w:r>
          </w:p>
        </w:tc>
        <w:tc>
          <w:tcPr>
            <w:tcW w:w="1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Частоты, предназначенные для фиксированной и фиксированной спутниковой служб, согласно Национальной таблице*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4" w:id="4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Приемо-передающие устройства морской подвижной службы</w:t>
            </w:r>
          </w:p>
          <w:bookmarkEnd w:id="403"/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5" w:id="4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404"/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РЭС морской береговой службы </w:t>
            </w:r>
          </w:p>
        </w:tc>
        <w:tc>
          <w:tcPr>
            <w:tcW w:w="1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Частоты, предназначенные для соответствующих служб, согласно Национальной таблице* и Регламенту радиосвязи Международного союза электросвязи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6" w:id="4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405"/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Радионавигационные устройства: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самолетные приемо-передающие радиотехнические средства самолетовождения и обеспечения безопасности полетов самолетов (радиовысотомеры, измерители скорости и сноса, аппаратура предупреждения столкновений и т.п.)</w:t>
            </w:r>
          </w:p>
        </w:tc>
        <w:tc>
          <w:tcPr>
            <w:tcW w:w="1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Частоты, предназначенные для соответствующих служб, согласно Национальной таблице* и Регламенту радиосвязи Международного союза электросвязи</w:t>
            </w:r>
          </w:p>
        </w:tc>
      </w:tr>
    </w:tbl>
    <w:bookmarkStart w:name="z957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основные сокращения, указанные в перечне РЭС и ВЧУ, на которые требуется получение Разрешения на эксплуатацию РЭС и ВЧУ:</w:t>
      </w:r>
    </w:p>
    <w:bookmarkEnd w:id="406"/>
    <w:bookmarkStart w:name="z958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* </w:t>
      </w:r>
      <w:r>
        <w:rPr>
          <w:rFonts w:ascii="Times New Roman"/>
          <w:b w:val="false"/>
          <w:i w:val="false"/>
          <w:color w:val="000000"/>
          <w:sz w:val="28"/>
        </w:rPr>
        <w:t>Таблица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распределения полос частот между радиослужбами Республики Казахстан в диапазоне частот от 3 кГц до 400 ГГц для радиоэлектронных средств всех назначений, утвержденная приказом исполняющего обязанности Министра по инвестициям и развитию Республики Казахстан от 20 января 2015 года № 22 (зарегистрирован в Министерстве юстиции Республики Казахстан 3 марта 2015 года № 10375);</w:t>
      </w:r>
    </w:p>
    <w:bookmarkEnd w:id="407"/>
    <w:bookmarkStart w:name="z959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 на фемтосоты не требуется получение разрешения на эксплуатацию РЭС и ВЧУ;</w:t>
      </w:r>
    </w:p>
    <w:bookmarkEnd w:id="408"/>
    <w:bookmarkStart w:name="z960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*** для VSAT-станций, работающие по HUB-технологии, разрешение на использование радиочастотного спектра не требуется, при условии получения разрешения на использование радиочастотного спектра для Центральной земной станции спутниковой связи сети VSAT (HUB).</w:t>
      </w:r>
    </w:p>
    <w:bookmarkEnd w:id="409"/>
    <w:bookmarkStart w:name="z961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ВЧУ – высокочастотные устройства;</w:t>
      </w:r>
    </w:p>
    <w:bookmarkEnd w:id="410"/>
    <w:bookmarkStart w:name="z962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ГГц – гигагерц;</w:t>
      </w:r>
    </w:p>
    <w:bookmarkEnd w:id="411"/>
    <w:bookmarkStart w:name="z963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ДВ – длинные волны;</w:t>
      </w:r>
    </w:p>
    <w:bookmarkEnd w:id="412"/>
    <w:bookmarkStart w:name="z964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КВ – короткие волны;</w:t>
      </w:r>
    </w:p>
    <w:bookmarkEnd w:id="413"/>
    <w:bookmarkStart w:name="z965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кГц – килогерц;</w:t>
      </w:r>
    </w:p>
    <w:bookmarkEnd w:id="414"/>
    <w:bookmarkStart w:name="z966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МГц – мегагерц;</w:t>
      </w:r>
    </w:p>
    <w:bookmarkEnd w:id="415"/>
    <w:bookmarkStart w:name="z967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РЭС – радиоэлектронное средство;</w:t>
      </w:r>
    </w:p>
    <w:bookmarkEnd w:id="416"/>
    <w:bookmarkStart w:name="z968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 – средние волны;</w:t>
      </w:r>
    </w:p>
    <w:bookmarkEnd w:id="417"/>
    <w:bookmarkStart w:name="z969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УKB – ультракороткие волны;</w:t>
      </w:r>
    </w:p>
    <w:bookmarkEnd w:id="418"/>
    <w:bookmarkStart w:name="z970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HUB – центральная станция;</w:t>
      </w:r>
    </w:p>
    <w:bookmarkEnd w:id="419"/>
    <w:bookmarkStart w:name="z971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DECT – Digital Enhanced Cordless Telecommunication (Технология улучшенной цифровой беспроводной связи);</w:t>
      </w:r>
    </w:p>
    <w:bookmarkEnd w:id="420"/>
    <w:bookmarkStart w:name="z972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SCPC – Single Channel per Carrier (один канал на несущую).</w:t>
      </w:r>
    </w:p>
    <w:bookmarkEnd w:id="421"/>
    <w:bookmarkStart w:name="z973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VSAT – Very Small Aperture Terminal (наземная станция спутниковой связи с малой апертурой);</w:t>
      </w:r>
    </w:p>
    <w:bookmarkEnd w:id="422"/>
    <w:bookmarkStart w:name="z974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WLL – wireless local loop (система беспроводного радиодоступа).</w:t>
      </w:r>
    </w:p>
    <w:bookmarkEnd w:id="423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