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c141" w14:textId="bfac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нормативное постановление Счетного комитета по контролю за исполнением республиканского бюджета от 28 ноября 2015 года № 13-НҚ "Об утверждении Типовой системы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внешнего государственного аудита"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28 декабря 2017 года № 12-НҚ. Зарегистрирован в Министерстве юстиции Республики Казахстан 17 января 2018 года № 16237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28 ноября 2015 года № 13-НҚ "Об утверждении Типовой системы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внешнего государственного аудита" (зарегистрировано в Министерстве юстиции Республики Казахстан 23 декабря 2015 года № 12476, опубликовано 5 января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рисками, которая применяется при формировании перечня объектов государственного аудита и финансового контроля на соответствующий год и проведении внешнего государственного аудита, утвержденной указанным нормативным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 направлениям расходов администратора бюджетной программы в соответствии с целями, целевыми индикаторами, определенными в стратегическом плане и программе развития территории, а также полномочиями, определенными в положении о государственном органе.";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Группировка бюджетных программ по направлениям расходов администратора бюджетной программы в соответствии с целями, целевыми индикаторами, определенными в стратегическом плане и программе развития территории, а также полномочиями, определенными в положении о государственном органе осуществляется структурным подразделением, ответственным за планирование.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Сводное значение оценки рисков по бюджетным программам (Rbp) сгруппированных по направлениям расходов администратора бюджетной программы в соответствии с целями, целевыми индикаторами, определенными в стратегическом плане и программе развития территории, а также полномочиями, определенными в положении о государственном органе направляется членам органа внешнего государственного аудита, для принятия решения о необходимости проведения государственного аудита в государственном органе по соответствующей функциональной направленности расходования средств бюджета.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рисков по доходной части бюджета осуществляется по: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налоговым поступлениям: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республиканском уровне по уполномоченным органам, ответственным за взимание поступлений и других платежей в республиканский бюджет, и их территориальным (областным) подразделениям;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местном уровне по уполномоченным органам, ответственным за взимание поступлений и других платежей в местный бюджет, и их территориальным (районным) подразделениям;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неналоговым поступлениям и поступлениям от продажи основного капитала согласно с классификацией поступлений.";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поступления в бюджет (неналоговые поступления и поступления от продажи основного капитала) согласно классификации поступлений;";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поступления в бюджет (неналоговые поступления и поступления от продажи основного капитала) согласно классификации поступлений;";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По результатам оценки рисков объекты и предметы государственного аудита относятся к одной из трех степеней риска: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высокой степени риска;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средней степени риска;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минимальной степени риска.";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Республики Казахстан порядке обеспечить: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нормативного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Эталонный контрольный банк нормативных правовых актов Республики Казахстан;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 (Абдирайымов Х.С.).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контролю за исполнением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Плотников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нормативному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2017 года № 12-НҚ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системе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рисками, которая 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формировании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и финансового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соответствующий год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критериев оценки рисков по объектам и предметам государственного аудита</w:t>
      </w:r>
    </w:p>
    <w:bookmarkEnd w:id="26"/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Расчет пороговых уровней критериев</w:t>
      </w:r>
    </w:p>
    <w:bookmarkEnd w:id="27"/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Пороговые уровни делятся на две категории: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объективный пороговый уровень (P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) [1], рассчитывается на основе исторических данных (динамического ряда) по критериям по формуле двойного стандартного отклонения [2]: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24257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279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стандартное отклонение;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значение переменной (значения критерия);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среднее значение переменной (критерия);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год;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лет.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нормативный (экспертный) пороговый уровень (Pe), определяемый на основании нормативных требований и/или экспертного мнения. Значения нормативных (экспертных) пороговых значений приведены перечнях объектов аудита.</w:t>
      </w:r>
    </w:p>
    <w:bookmarkEnd w:id="37"/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Расчет влияния критериев на уровень риска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определении влияния критериев на уровень рисков рассчитывается показатель "под риск" методом стохастического моделирования Монте-Карло. Входные данные для расчета показателя под риском принимаются следующие значения: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среднее значение показателя (ущерб),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стандартное отклонение показателя (ущерб).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2413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среднее значение показателя (ущерб) рассчитывается по следующей формуле [3]: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4559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965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массив значений переменных (динамический ряд) по критерию, без учета последнего значения критерия;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2794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стандартное отклонение показателя (ущерб) рассчитывается по формуле согласно пункту 1 настоящей Методики. При этом стандартное отклонение показателя (ущерб) определяется в процентах путем умножения полученного значения на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Следующим этапом является расчет показателя "под риском" (R</w:t>
      </w:r>
      <w:r>
        <w:rPr>
          <w:rFonts w:ascii="Times New Roman"/>
          <w:b w:val="false"/>
          <w:i w:val="false"/>
          <w:color w:val="000000"/>
          <w:vertAlign w:val="subscript"/>
        </w:rPr>
        <w:t>ar</w:t>
      </w:r>
      <w:r>
        <w:rPr>
          <w:rFonts w:ascii="Times New Roman"/>
          <w:b w:val="false"/>
          <w:i w:val="false"/>
          <w:color w:val="000000"/>
          <w:sz w:val="28"/>
        </w:rPr>
        <w:t>) методом стохастического моделирования Монте-Карло, которое рассчитывается с применением функции MS Excel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персентиль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следующей формуле [4]: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30607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635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массив показателей симуляции ущерба;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(95%) доверительный интервал, который подразумевает, что с вероятностью на 95 % значение критерия не превысит расчетный показатель под риск;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симуляция показателей ущерба, рассчитываемая за каждый период динамического ряда по формуле [5]: 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3162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норм.ст.обр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функция MS Excel, которая возвращает обратное значение стандартного нормального распределения. Это распределение имеет среднее, равное нулю, и стандартное отклонение, равное единице;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случайная величина определенного периода динамического ряда, рассчитываемая по функции случайных чисел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слчис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слчис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функция MS Excel, возвращает равномерно распределенное случайное вещественное число, которое большее или равно 0 и меньше 1. Новое случайное вещественное число возвращается при каждом вычислении листа.</w:t>
      </w:r>
    </w:p>
    <w:bookmarkEnd w:id="52"/>
    <w:bookmarkStart w:name="z7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Расчет вероятности наступления рисков 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учетом порогового уровня и количества наблюдений осуществляется оценка вероятности наступления рисков (V), которая рассчитывается по формуле [6]: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= кол-во случаев превышения исходных показателей над объективным пороговым уровнем (P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) в динамическом ряде * 100 / кол-во лет динамического ряда [6], где: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объективный пороговый уровень последнего периода динамического ряда.</w:t>
      </w:r>
    </w:p>
    <w:bookmarkEnd w:id="56"/>
    <w:bookmarkStart w:name="z7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результатов расчета критериев 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расчета критериев (R) определяется по формуле [7]: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14351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%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процент отклонения от объективного порогового уровня (P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), рассчитывается по формуле [8]: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2743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ожидаемое влияние, определяемое путем умножения вероятности наступления рисков (V</w:t>
      </w:r>
      <w:r>
        <w:rPr>
          <w:rFonts w:ascii="Times New Roman"/>
          <w:b w:val="false"/>
          <w:i w:val="false"/>
          <w:color w:val="000000"/>
          <w:vertAlign w:val="subscript"/>
        </w:rPr>
        <w:t>r</w:t>
      </w:r>
      <w:r>
        <w:rPr>
          <w:rFonts w:ascii="Times New Roman"/>
          <w:b w:val="false"/>
          <w:i w:val="false"/>
          <w:color w:val="000000"/>
          <w:sz w:val="28"/>
        </w:rPr>
        <w:t>) на показатель под риском (СFaR).,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2540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удельный вес значимости выбранного критерия из общего перечня критериев по определенной группе объектов (предметов) аудита, определяется экспертным методом в процентном соотношении, при этом удельные веса значимости по группе объектов (предметов) аудита в суммарном выражении должны быть равны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исходных данных по какому-либо из критериев, удельный вес данного критерия распределяется по другим критериям в равных долях.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Итоговый результат расчета рисков (R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 объекту (предмету) государственного аудита определяется путем сложения результатов расчета критериев по следующей формуле [9]: 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28702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нормативному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системе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рисками, которая 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формировании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и финансового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соответствующий год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9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 </w:t>
      </w:r>
      <w:r>
        <w:br/>
      </w:r>
      <w:r>
        <w:rPr>
          <w:rFonts w:ascii="Times New Roman"/>
          <w:b/>
          <w:i w:val="false"/>
          <w:color w:val="000000"/>
        </w:rPr>
        <w:t>по бюджетным программам, финансируемым из республиканского бюджета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5631"/>
        <w:gridCol w:w="1175"/>
        <w:gridCol w:w="381"/>
        <w:gridCol w:w="1254"/>
        <w:gridCol w:w="2527"/>
      </w:tblGrid>
      <w:tr>
        <w:trPr>
          <w:trHeight w:val="30" w:hRule="atLeast"/>
        </w:trPr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0"/>
        </w:tc>
        <w:tc>
          <w:tcPr>
            <w:tcW w:w="5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момента проведения последнего государственного аудита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нарушений от общего объема средств, охваченных государственным аудитом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недостигнутых показателей прямого результата от общего количества показателей прямого результата бюджетных программ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недостигнутых показателей конечного результата от общего количества показателей конечного результата бюджетных программ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недостигнутых показателей прямого результата бюджетных программ, не достигших значений, предусмотренных в первоначально утвержденных бюджетных программах, от общего их количества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недостигнутых показателей конечного результата бюджетных программ, не достигших значений, предусмотренных в первоначально утвержденных бюджетных программах, от общего их количества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подвергнутых корректировке показателей прямого результата от общего количества, первоначально утвержденных показателей прямого результата бюджетных программ в ходе исполнения бюджета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подвергнутых корректировке показателей конечного результата от общего количества, первоначально утвержденных показателей конечного результата бюджетных программ в ходе исполнения бюджета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9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внесенных изменений и дополнений в бюджетную программу в течение финансового года в ходе исполнения бюджета (количество)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нормативному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2017 года № 12-НҚ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системе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рисками, которая 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формировании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и финансового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соответствующий год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10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</w:t>
      </w:r>
      <w:r>
        <w:br/>
      </w:r>
      <w:r>
        <w:rPr>
          <w:rFonts w:ascii="Times New Roman"/>
          <w:b/>
          <w:i w:val="false"/>
          <w:color w:val="000000"/>
        </w:rPr>
        <w:t>по программным документам (государственным и правительственным программам, стратегическим планам государственных органов)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5278"/>
        <w:gridCol w:w="1326"/>
        <w:gridCol w:w="430"/>
        <w:gridCol w:w="1415"/>
        <w:gridCol w:w="2851"/>
      </w:tblGrid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2"/>
        </w:tc>
        <w:tc>
          <w:tcPr>
            <w:tcW w:w="5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1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момента проведения последнего государственного аудита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Средневзвешенный показатель степени отклонения значений критериев отбора бюджетных программ, реализуемых в рамках данного программного документа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недостижения целевых индикаторов программного документа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целевых индикаторов, не достигших значений, предусмотренных в первоначально утвержденном программном документе, от общего их количества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"/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подвергнутых изменению целевых индикаторов в ходе реализации программного документа от общего количества первоначально утвержденных целевых индикаторов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8"/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невыполненных мероприятий Плана мероприятий программного документа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"/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несвоевременно реализуемых бюджетных инвестиционных проектов в рамках программного документа от их общего количества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0"/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внесенных изменений и дополнений в программный документ в течение периода его реализации (количество)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нормативному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системе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рисками, которая 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формировании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и финансового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соответствующий год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12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</w:t>
      </w:r>
      <w:r>
        <w:br/>
      </w:r>
      <w:r>
        <w:rPr>
          <w:rFonts w:ascii="Times New Roman"/>
          <w:b/>
          <w:i w:val="false"/>
          <w:color w:val="000000"/>
        </w:rPr>
        <w:t xml:space="preserve"> по государственным органам, их подведомственным учреждениям </w:t>
      </w:r>
    </w:p>
    <w:bookmarkEnd w:id="91"/>
    <w:bookmarkStart w:name="z12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(расходная часть)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6394"/>
        <w:gridCol w:w="1041"/>
        <w:gridCol w:w="337"/>
        <w:gridCol w:w="1111"/>
        <w:gridCol w:w="2238"/>
      </w:tblGrid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3"/>
        </w:tc>
        <w:tc>
          <w:tcPr>
            <w:tcW w:w="6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бюджетных средств, охваченных государственным аудитом от общего объема бюджетных средств, выделенных объекту государственного аудита за проверенный период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нарушений от общего объема средств, охваченных государственным аудитом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выявленных финансовых нарушений, подлежащая возмещению в бюджет от общей суммы выявленных нарушений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неисполненных поручений органа государственного аудита от общего количества поручений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8"/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финансирования государственного учреждения от общего объема республиканского бюджета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9"/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целевых трансфертов на развитие от общего объема целевых трансфертов на развитие республиканского бюджета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0"/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целевых текущих трансфертов от общего объема целевых текущих трансфертов республиканского бюджета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1"/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объемов финансирования по сравнению с прошлым годом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2"/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бюджетных средств на конец года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3"/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перераспределенных (скорректированных) средств администратором бюджетной программы в ходе исполнения бюджета от общего утвержденного объема расходов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4"/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объема дебиторской задолженности по сравнению с прошлым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5"/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объема кредиторской задолженности по сравнению с прошлым периодом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6"/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несвоевременно реализуемых бюджетных инвестиционных проектов от общего утвержденного количества бюджетных инвестиционных проектов, реализуемых данным государственным органом, за отчетный период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7"/>
        </w:tc>
        <w:tc>
          <w:tcPr>
            <w:tcW w:w="6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подвергнутых перераспределению (корректировке) бюджетных инвестиционных проектов в ходе исполнения бюджета от общего утвержденного количества бюджетных инвестиционных проектов, реализуемых данным государственным органом, за отчетный период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нормативному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системе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рисками, которая 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формировании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и финансового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соответствующий год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140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</w:t>
      </w:r>
      <w:r>
        <w:br/>
      </w:r>
      <w:r>
        <w:rPr>
          <w:rFonts w:ascii="Times New Roman"/>
          <w:b/>
          <w:i w:val="false"/>
          <w:color w:val="000000"/>
        </w:rPr>
        <w:t>по государственным органам, осуществляющим деятельность по обеспечению полноты и своевременности поступлений в бюджет (налоговые поступления)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5167"/>
        <w:gridCol w:w="1522"/>
        <w:gridCol w:w="493"/>
        <w:gridCol w:w="1624"/>
        <w:gridCol w:w="2346"/>
      </w:tblGrid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9"/>
        </w:tc>
        <w:tc>
          <w:tcPr>
            <w:tcW w:w="5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момента проведения последнего государственного аудита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неисполненных поручений органа государственного аудита от общего количества поручений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доли задолженности в республиканский бюджет от общего объема поступлений по сравнению с предыдущим отчетным периодом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роста недоимки по налогам, таможенным платежам по сравнению с предыдущим отчетным периодом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"/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недоимки к общей сумме поступлений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5"/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поступлений по доходам в республиканский бюджет по сравнению с аналогичным периодом прошлого года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6"/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взысканий доначисленных сумм по актам налоговых проверок по сравнению с аналогичным периодом прошлого года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7"/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неналоговых поступлений в республиканский бюджет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системе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рисками, которая 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формировании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и финансового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соответствующий год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15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</w:t>
      </w:r>
      <w:r>
        <w:br/>
      </w:r>
      <w:r>
        <w:rPr>
          <w:rFonts w:ascii="Times New Roman"/>
          <w:b/>
          <w:i w:val="false"/>
          <w:color w:val="000000"/>
        </w:rPr>
        <w:t>по обеспечению полноты и своевременности поступлений в бюджет (неналоговые поступления и поступления от продажи основного капитала) в соответствии с Единой бюджетной классификацией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4006"/>
        <w:gridCol w:w="1566"/>
        <w:gridCol w:w="508"/>
        <w:gridCol w:w="1671"/>
        <w:gridCol w:w="3367"/>
      </w:tblGrid>
      <w:tr>
        <w:trPr>
          <w:trHeight w:val="30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9"/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отдельных поступлений в республиканский бюджет по сравнению с предыдущим отчетным периодом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достижения планового показателя по поступлениям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показателей доходной части утвержденного бюджета от скорректированного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нормативному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системе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рисками, которая 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формировании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и финансового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соответствующий год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16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</w:t>
      </w:r>
      <w:r>
        <w:br/>
      </w:r>
      <w:r>
        <w:rPr>
          <w:rFonts w:ascii="Times New Roman"/>
          <w:b/>
          <w:i w:val="false"/>
          <w:color w:val="000000"/>
        </w:rPr>
        <w:t xml:space="preserve"> по регионам (областям, городу республиканского значения, столице)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6984"/>
        <w:gridCol w:w="1004"/>
        <w:gridCol w:w="325"/>
        <w:gridCol w:w="1071"/>
        <w:gridCol w:w="2159"/>
      </w:tblGrid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4"/>
        </w:tc>
        <w:tc>
          <w:tcPr>
            <w:tcW w:w="6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момента проведения последнего государственного аудита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6"/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бюджетных средств, охваченных государственным аудитом от общего объема бюджетных средств республиканского бюджета, выделенных за последние два года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7"/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нарушений от общего объема средств, охваченных государственным аудитом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неосвоенных средств по бюджетным программам развития, выделенных из республиканского бюджета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9"/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 развития (для местных исполнительных органов)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"/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целевых трансфертов, выделенных из республиканского бюджета на развитие от общего объема расходов местного бюджета на развитие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1"/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обеспечения софинансирования из местного бюджета по местным бюджетным инвестиционным проектам, финансируемых за счет целевых трансфертов на развитие из республиканского бюджета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2"/>
        </w:tc>
        <w:tc>
          <w:tcPr>
            <w:tcW w:w="6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подвергнутых перераспределению (корректировке) местных бюджетных инвестиционных проектов в ходе исполнения бюджета от общего утвержденного количества местных бюджетных инвестиционных проектов, реализуемых местным исполнительным органом за счет целевых трансфертов на развитие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нормативному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системе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рисками, которая 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формировании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и финансового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соответствующий год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174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 </w:t>
      </w:r>
      <w:r>
        <w:br/>
      </w:r>
      <w:r>
        <w:rPr>
          <w:rFonts w:ascii="Times New Roman"/>
          <w:b/>
          <w:i w:val="false"/>
          <w:color w:val="000000"/>
        </w:rPr>
        <w:t>по бюджетным программам, финансируемым из местного бюджета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5631"/>
        <w:gridCol w:w="1175"/>
        <w:gridCol w:w="381"/>
        <w:gridCol w:w="1254"/>
        <w:gridCol w:w="2527"/>
      </w:tblGrid>
      <w:tr>
        <w:trPr>
          <w:trHeight w:val="30" w:hRule="atLeast"/>
        </w:trPr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4"/>
        </w:tc>
        <w:tc>
          <w:tcPr>
            <w:tcW w:w="5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момента проведения последнего государственного аудита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нарушений от общего объема средств, охваченных государственным аудитом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недостигнутых показателей прямого результата от общего количества показателей прямого результата бюджетных программ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недостигнутых показателей конечного результата от общего количества показателей конечного результата бюджетных программ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9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недостигнутых показателей прямого результата бюджетных программ, не достигших значений, предусмотренных в первоначально утвержденных бюджетных программах, от общего их количества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недостигнутых показателей конечного результата бюджетных программ, не достигших значений, предусмотренных в первоначально утвержденных бюджетных программах, от общего их количества 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1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подвергнутых корректировке показателей прямого результата от общего количества, первоначально утвержденных показателей прямого результата бюджетных программ в ходе исполнения бюджета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2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подвергнутых корректировке показателей конечного результата от общего количества, первоначально утвержденных показателей конечного результата бюджетных программ в ходе исполнения бюджета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3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внесенных изменений и дополнений в бюджетную программу в течение финансового года в ходе исполнения бюджета (количество)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4"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нормативному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системе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рисками, которая 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формировании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и финансового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соответствующий год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18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</w:t>
      </w:r>
      <w:r>
        <w:br/>
      </w:r>
      <w:r>
        <w:rPr>
          <w:rFonts w:ascii="Times New Roman"/>
          <w:b/>
          <w:i w:val="false"/>
          <w:color w:val="000000"/>
        </w:rPr>
        <w:t xml:space="preserve"> по Программам развития территорий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5120"/>
        <w:gridCol w:w="1356"/>
        <w:gridCol w:w="439"/>
        <w:gridCol w:w="1447"/>
        <w:gridCol w:w="2915"/>
      </w:tblGrid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6"/>
        </w:tc>
        <w:tc>
          <w:tcPr>
            <w:tcW w:w="5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момента проведения последнего государственного аудита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8"/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нарушений от общего объема средств, охваченных государственным аудитом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9"/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недостижения целевых индикаторов программного документа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0"/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целевых индикаторов, не достигших значений, предусмотренных в первоначально утвержденном программном документе, от общего количества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1"/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подвергнутых изменению целевых индикаторов в ходе реализации программного документа от общего количества первоначально утвержденных целевых индикаторов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2"/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невыполненных мероприятий Плана мероприятий программного документа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3"/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несвоевременно реализуемых бюджетных инвестиционных проектов в рамках программного документа от их общего количества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4"/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внесенных изменений и дополнений в программный документ в течение периода его реализации (количество)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нормативному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системе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рисками, которая 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формировании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и финансового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соответствующий год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20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 </w:t>
      </w:r>
      <w:r>
        <w:br/>
      </w:r>
      <w:r>
        <w:rPr>
          <w:rFonts w:ascii="Times New Roman"/>
          <w:b/>
          <w:i w:val="false"/>
          <w:color w:val="000000"/>
        </w:rPr>
        <w:t>по государственным органам (учреждениям), их подведомственным учреждениям (расходная часть)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6946"/>
        <w:gridCol w:w="943"/>
        <w:gridCol w:w="306"/>
        <w:gridCol w:w="1007"/>
        <w:gridCol w:w="2029"/>
      </w:tblGrid>
      <w:tr>
        <w:trPr>
          <w:trHeight w:val="30" w:hRule="atLeast"/>
        </w:trPr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6"/>
        </w:tc>
        <w:tc>
          <w:tcPr>
            <w:tcW w:w="6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бюджетных средств, охваченных государственным аудитом от общего объема бюджетных средств, выделенных объекту государственного аудита за проверенный период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8"/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финансовых нарушений от общего объема средств, охваченных государственным аудитом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9"/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выявленных финансовых нарушений, подлежащая возмещению в бюджет от общей суммы выявленных нарушений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0"/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неисполненных поручений органа государственного аудита от общего количества поручений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"/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финансирования государственного учреждения от общего объема соответствующего бюджета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2"/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целевых трансфертов на развитие от общего объема целевых трансфертов на развитие республиканского бюджета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3"/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целевых текущих трансфертов от общего объема целевых текущих трансфертов республиканского бюджета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4"/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объемов финансирования по сравнению с прошлым годом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5"/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бюджетных средств на конец года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перераспределенных (скорректированных) средств администратором бюджетной программы в ходе исполнения бюджета от общего утвержденного объема расходов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7"/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объема дебиторской задолженности по сравнению с прошлым периодом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8"/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Рост/снижение объема кредиторской задолженности по сравнению с прошлым периодом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9"/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подвергнутых перераспределению (корректировке) местных бюджетных инвестиционных проектов в ходе исполнения бюджета от общего, первоначально утвержденного, количества местных бюджетных инвестиционных проектов, реализуемых данным местным исполнительным органом, за отчетный период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0"/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 развития (для местных исполнительных органов)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нормативному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Счетного 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исполнением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системе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рисками, которая применяется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формировании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аудита и финансового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соответствующий год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</w:p>
        </w:tc>
      </w:tr>
    </w:tbl>
    <w:bookmarkStart w:name="z22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</w:t>
      </w:r>
      <w:r>
        <w:br/>
      </w:r>
      <w:r>
        <w:rPr>
          <w:rFonts w:ascii="Times New Roman"/>
          <w:b/>
          <w:i w:val="false"/>
          <w:color w:val="000000"/>
        </w:rPr>
        <w:t>по обеспечению полноты и своевременности поступлений в бюджет (неналоговые поступления и поступлениями от продажи основного капитала) в соответствии с Единой бюджетной классификацией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4006"/>
        <w:gridCol w:w="1566"/>
        <w:gridCol w:w="508"/>
        <w:gridCol w:w="1671"/>
        <w:gridCol w:w="3367"/>
      </w:tblGrid>
      <w:tr>
        <w:trPr>
          <w:trHeight w:val="30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2"/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уровни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критерия (%)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объективный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(экспертный)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отдельных поступлений в местный бюджет по сравнению с предыдущим отчетным периодом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4"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достижения планового показателя по поступлениям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5"/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показателей доходной части утвержденного бюджета от скорректированного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